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792386E3" w:rsidR="00D42D5D" w:rsidRPr="000A64D8" w:rsidRDefault="00D42D5D" w:rsidP="00D42D5D">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TSG-RAN WG1 #</w:t>
      </w:r>
      <w:r>
        <w:rPr>
          <w:rFonts w:ascii="Arial" w:hAnsi="Arial" w:cs="Arial"/>
          <w:b/>
          <w:sz w:val="24"/>
          <w:szCs w:val="24"/>
        </w:rPr>
        <w:t>8</w:t>
      </w:r>
      <w:r w:rsidR="00874A6D">
        <w:rPr>
          <w:rFonts w:ascii="Arial" w:hAnsi="Arial" w:cs="Arial"/>
          <w:b/>
          <w:sz w:val="24"/>
          <w:szCs w:val="24"/>
        </w:rPr>
        <w:t>6</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w:t>
      </w:r>
      <w:r w:rsidR="0081212F" w:rsidRPr="0081212F">
        <w:t xml:space="preserve"> </w:t>
      </w:r>
      <w:r w:rsidR="0081212F" w:rsidRPr="0081212F">
        <w:rPr>
          <w:rFonts w:ascii="Arial" w:hAnsi="Arial" w:cs="Arial"/>
          <w:b/>
          <w:sz w:val="24"/>
          <w:szCs w:val="24"/>
        </w:rPr>
        <w:t>1610112</w:t>
      </w:r>
    </w:p>
    <w:p w14:paraId="26881B32" w14:textId="4618285D" w:rsidR="00D1303E" w:rsidRPr="00FD021C" w:rsidRDefault="007273FE" w:rsidP="00D1303E">
      <w:pPr>
        <w:tabs>
          <w:tab w:val="right" w:pos="9630"/>
        </w:tabs>
        <w:spacing w:after="0"/>
        <w:jc w:val="both"/>
        <w:rPr>
          <w:rFonts w:ascii="Arial" w:hAnsi="Arial" w:cs="Arial"/>
          <w:b/>
          <w:sz w:val="24"/>
          <w:szCs w:val="24"/>
        </w:rPr>
      </w:pPr>
      <w:r>
        <w:rPr>
          <w:rFonts w:ascii="Arial" w:hAnsi="Arial" w:cs="Arial"/>
          <w:b/>
          <w:sz w:val="24"/>
          <w:szCs w:val="24"/>
        </w:rPr>
        <w:t>10</w:t>
      </w:r>
      <w:r w:rsidRPr="007273FE">
        <w:rPr>
          <w:rFonts w:ascii="Arial" w:hAnsi="Arial" w:cs="Arial"/>
          <w:b/>
          <w:sz w:val="24"/>
          <w:szCs w:val="24"/>
          <w:vertAlign w:val="superscript"/>
        </w:rPr>
        <w:t>th</w:t>
      </w:r>
      <w:r>
        <w:rPr>
          <w:rFonts w:ascii="Arial" w:hAnsi="Arial" w:cs="Arial"/>
          <w:b/>
          <w:sz w:val="24"/>
          <w:szCs w:val="24"/>
        </w:rPr>
        <w:t xml:space="preserve"> </w:t>
      </w:r>
      <w:r w:rsidR="00D1303E">
        <w:rPr>
          <w:rFonts w:ascii="Arial" w:hAnsi="Arial" w:cs="Arial"/>
          <w:b/>
          <w:sz w:val="24"/>
          <w:szCs w:val="24"/>
        </w:rPr>
        <w:t>–</w:t>
      </w:r>
      <w:r w:rsidR="00D1303E" w:rsidRPr="003732BA">
        <w:rPr>
          <w:rFonts w:ascii="Arial" w:hAnsi="Arial" w:cs="Arial"/>
          <w:b/>
          <w:sz w:val="24"/>
          <w:szCs w:val="24"/>
        </w:rPr>
        <w:t xml:space="preserve"> </w:t>
      </w:r>
      <w:r>
        <w:rPr>
          <w:rFonts w:ascii="Arial" w:hAnsi="Arial" w:cs="Arial"/>
          <w:b/>
          <w:sz w:val="24"/>
          <w:szCs w:val="24"/>
        </w:rPr>
        <w:t>14</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Oct</w:t>
      </w:r>
      <w:r w:rsidR="00CA6BDF">
        <w:rPr>
          <w:rFonts w:ascii="Arial" w:hAnsi="Arial" w:cs="Arial"/>
          <w:b/>
          <w:sz w:val="24"/>
          <w:szCs w:val="24"/>
        </w:rPr>
        <w:t xml:space="preserve"> 2016</w:t>
      </w:r>
    </w:p>
    <w:p w14:paraId="26881B33" w14:textId="69FE9EDA" w:rsidR="00D1303E" w:rsidRPr="00FD021C" w:rsidRDefault="007273FE" w:rsidP="00D1303E">
      <w:pPr>
        <w:spacing w:after="0"/>
        <w:jc w:val="both"/>
        <w:rPr>
          <w:rFonts w:ascii="Arial" w:hAnsi="Arial" w:cs="Arial"/>
          <w:b/>
          <w:sz w:val="24"/>
          <w:szCs w:val="24"/>
        </w:rPr>
      </w:pPr>
      <w:r>
        <w:rPr>
          <w:rFonts w:ascii="Arial" w:hAnsi="Arial" w:cs="Arial"/>
          <w:b/>
          <w:sz w:val="24"/>
          <w:szCs w:val="24"/>
        </w:rPr>
        <w:t>Lisbon</w:t>
      </w:r>
      <w:r w:rsidR="00CA6BDF" w:rsidRPr="00CA6BDF">
        <w:rPr>
          <w:rFonts w:ascii="Arial" w:hAnsi="Arial" w:cs="Arial"/>
          <w:b/>
          <w:sz w:val="24"/>
          <w:szCs w:val="24"/>
        </w:rPr>
        <w:t xml:space="preserve">, </w:t>
      </w:r>
      <w:r>
        <w:rPr>
          <w:rFonts w:ascii="Arial" w:hAnsi="Arial" w:cs="Arial"/>
          <w:b/>
          <w:sz w:val="24"/>
          <w:szCs w:val="24"/>
        </w:rPr>
        <w:t>Portugal</w:t>
      </w:r>
    </w:p>
    <w:p w14:paraId="26881B34" w14:textId="77777777" w:rsidR="0068226B" w:rsidRPr="000A64D8" w:rsidRDefault="0068226B" w:rsidP="00480B03">
      <w:pPr>
        <w:pStyle w:val="Footer"/>
        <w:jc w:val="both"/>
        <w:rPr>
          <w:noProof w:val="0"/>
        </w:rPr>
      </w:pPr>
    </w:p>
    <w:p w14:paraId="26881B35" w14:textId="5BFCEE4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4F33A1">
        <w:rPr>
          <w:rFonts w:ascii="Arial" w:hAnsi="Arial"/>
          <w:sz w:val="24"/>
        </w:rPr>
        <w:t>8.1.1</w:t>
      </w:r>
      <w:r w:rsidR="00762A95">
        <w:rPr>
          <w:rFonts w:ascii="Arial" w:hAnsi="Arial"/>
          <w:sz w:val="24"/>
        </w:rPr>
        <w:t>.1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6C334EAD"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86096" w:rsidRPr="00D86096">
        <w:rPr>
          <w:rFonts w:ascii="Arial" w:hAnsi="Arial"/>
          <w:sz w:val="24"/>
        </w:rPr>
        <w:t>On the impact of beamforming to link budget comparison of DFTs-OFDM and OFDM</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26881B3A" w14:textId="0B523A14" w:rsidR="004A0D01" w:rsidRDefault="002621AD" w:rsidP="004A0D01">
      <w:pPr>
        <w:jc w:val="both"/>
        <w:rPr>
          <w:szCs w:val="22"/>
        </w:rPr>
      </w:pPr>
      <w:r>
        <w:rPr>
          <w:szCs w:val="22"/>
        </w:rPr>
        <w:t xml:space="preserve">It was </w:t>
      </w:r>
      <w:r w:rsidR="00A337E6">
        <w:rPr>
          <w:szCs w:val="22"/>
        </w:rPr>
        <w:t>agreed</w:t>
      </w:r>
      <w:r>
        <w:rPr>
          <w:szCs w:val="22"/>
        </w:rPr>
        <w:t xml:space="preserve"> in</w:t>
      </w:r>
      <w:r w:rsidR="00637369">
        <w:rPr>
          <w:szCs w:val="22"/>
        </w:rPr>
        <w:t xml:space="preserve"> RAN1_86</w:t>
      </w:r>
      <w:r>
        <w:rPr>
          <w:szCs w:val="22"/>
        </w:rPr>
        <w:t xml:space="preserve"> </w:t>
      </w:r>
      <w:r>
        <w:rPr>
          <w:szCs w:val="22"/>
        </w:rPr>
        <w:fldChar w:fldCharType="begin"/>
      </w:r>
      <w:r>
        <w:rPr>
          <w:szCs w:val="22"/>
        </w:rPr>
        <w:instrText xml:space="preserve"> REF _Ref457730460 \r \h </w:instrText>
      </w:r>
      <w:r>
        <w:rPr>
          <w:szCs w:val="22"/>
        </w:rPr>
      </w:r>
      <w:r>
        <w:rPr>
          <w:szCs w:val="22"/>
        </w:rPr>
        <w:fldChar w:fldCharType="separate"/>
      </w:r>
      <w:r>
        <w:rPr>
          <w:szCs w:val="22"/>
        </w:rPr>
        <w:t>[1]</w:t>
      </w:r>
      <w:r>
        <w:rPr>
          <w:szCs w:val="22"/>
        </w:rPr>
        <w:fldChar w:fldCharType="end"/>
      </w:r>
      <w:r w:rsidR="007C6FFC">
        <w:rPr>
          <w:szCs w:val="22"/>
        </w:rPr>
        <w:t xml:space="preserve"> </w:t>
      </w:r>
      <w:r w:rsidR="006D07F3">
        <w:rPr>
          <w:szCs w:val="22"/>
        </w:rPr>
        <w:fldChar w:fldCharType="begin"/>
      </w:r>
      <w:r w:rsidR="006D07F3">
        <w:rPr>
          <w:szCs w:val="22"/>
        </w:rPr>
        <w:instrText xml:space="preserve"> REF _Ref461382711 \r \h </w:instrText>
      </w:r>
      <w:r w:rsidR="006D07F3">
        <w:rPr>
          <w:szCs w:val="22"/>
        </w:rPr>
      </w:r>
      <w:r w:rsidR="006D07F3">
        <w:rPr>
          <w:szCs w:val="22"/>
        </w:rPr>
        <w:fldChar w:fldCharType="separate"/>
      </w:r>
      <w:r w:rsidR="006D07F3">
        <w:rPr>
          <w:szCs w:val="22"/>
        </w:rPr>
        <w:t>[2]</w:t>
      </w:r>
      <w:r w:rsidR="006D07F3">
        <w:rPr>
          <w:szCs w:val="22"/>
        </w:rPr>
        <w:fldChar w:fldCharType="end"/>
      </w:r>
      <w:r w:rsidR="00E368A4">
        <w:rPr>
          <w:szCs w:val="22"/>
        </w:rPr>
        <w:t xml:space="preserve"> that NR will</w:t>
      </w:r>
      <w:r w:rsidR="00A337E6">
        <w:rPr>
          <w:szCs w:val="22"/>
        </w:rPr>
        <w:t xml:space="preserve"> </w:t>
      </w:r>
      <w:r w:rsidR="006D07F3">
        <w:rPr>
          <w:szCs w:val="22"/>
        </w:rPr>
        <w:t>support CP-OFDM based waveform with possibly low PAPR techniques, as shown below</w:t>
      </w:r>
      <w:r w:rsidR="00E368A4">
        <w:rPr>
          <w:szCs w:val="22"/>
        </w:rPr>
        <w:t>:</w:t>
      </w:r>
    </w:p>
    <w:p w14:paraId="70057759" w14:textId="610797E1" w:rsidR="007C6FFC" w:rsidRPr="00507538" w:rsidRDefault="00DC5DBA" w:rsidP="00CD10F3">
      <w:pPr>
        <w:numPr>
          <w:ilvl w:val="0"/>
          <w:numId w:val="29"/>
        </w:numPr>
        <w:overflowPunct/>
        <w:autoSpaceDE/>
        <w:autoSpaceDN/>
        <w:adjustRightInd/>
        <w:spacing w:after="0"/>
        <w:textAlignment w:val="auto"/>
        <w:rPr>
          <w:rFonts w:eastAsia="MS Mincho"/>
          <w:i/>
          <w:lang w:eastAsia="ja-JP"/>
        </w:rPr>
      </w:pPr>
      <w:r w:rsidRPr="00507538">
        <w:rPr>
          <w:rFonts w:eastAsia="MS Mincho"/>
          <w:i/>
          <w:lang w:eastAsia="ja-JP"/>
        </w:rPr>
        <w:t xml:space="preserve">At least up to 40 GHz for eMBB and URLLC services, NR supports CP-OFDM based waveform with Y greater than that of LTE (assuming Y=90% for LTE) for DL and UL, possibly with additional low PAPR/CM technique(s) (e.g., DFT-S-OFDM, etc.) </w:t>
      </w:r>
    </w:p>
    <w:p w14:paraId="400FF0D3" w14:textId="6C8AC530" w:rsidR="002621AD" w:rsidRDefault="006D07F3" w:rsidP="006D07F3">
      <w:pPr>
        <w:jc w:val="both"/>
      </w:pPr>
      <w:r>
        <w:t>It was further agreed</w:t>
      </w:r>
      <w:r w:rsidR="007C6FFC">
        <w:t xml:space="preserve"> </w:t>
      </w:r>
      <w:r w:rsidR="007C6FFC">
        <w:fldChar w:fldCharType="begin"/>
      </w:r>
      <w:r w:rsidR="007C6FFC">
        <w:instrText xml:space="preserve"> REF _Ref461383190 \r \h </w:instrText>
      </w:r>
      <w:r w:rsidR="007C6FFC">
        <w:fldChar w:fldCharType="separate"/>
      </w:r>
      <w:r w:rsidR="007C6FFC">
        <w:t>[1]</w:t>
      </w:r>
      <w:r w:rsidR="007C6FFC">
        <w:fldChar w:fldCharType="end"/>
      </w:r>
      <w:r w:rsidR="007C6FFC">
        <w:t xml:space="preserve"> </w:t>
      </w:r>
      <w:r w:rsidR="007C6FFC">
        <w:fldChar w:fldCharType="begin"/>
      </w:r>
      <w:r w:rsidR="007C6FFC">
        <w:instrText xml:space="preserve"> REF _Ref461383193 \r \h </w:instrText>
      </w:r>
      <w:r w:rsidR="007C6FFC">
        <w:fldChar w:fldCharType="separate"/>
      </w:r>
      <w:r w:rsidR="007C6FFC">
        <w:t>[3]</w:t>
      </w:r>
      <w:r w:rsidR="007C6FFC">
        <w:fldChar w:fldCharType="end"/>
      </w:r>
      <w:r>
        <w:t xml:space="preserve"> that:</w:t>
      </w:r>
    </w:p>
    <w:p w14:paraId="3D456A47" w14:textId="77777777" w:rsidR="007C6FFC" w:rsidRPr="00507538" w:rsidRDefault="007C6FFC" w:rsidP="007C6FFC">
      <w:pPr>
        <w:numPr>
          <w:ilvl w:val="0"/>
          <w:numId w:val="30"/>
        </w:numPr>
        <w:overflowPunct/>
        <w:autoSpaceDE/>
        <w:autoSpaceDN/>
        <w:adjustRightInd/>
        <w:spacing w:after="0"/>
        <w:textAlignment w:val="auto"/>
        <w:rPr>
          <w:rFonts w:eastAsia="MS Mincho"/>
          <w:i/>
          <w:lang w:eastAsia="ja-JP"/>
        </w:rPr>
      </w:pPr>
      <w:r w:rsidRPr="00507538">
        <w:rPr>
          <w:rFonts w:eastAsia="MS Mincho"/>
          <w:i/>
          <w:lang w:eastAsia="ja-JP"/>
        </w:rPr>
        <w:t>NR uplink should target at least the same link budget (i.e. MCL) as LTE uplink, under the same usage scenarios and similar deployment configurations (e.g., same carrier frequency)</w:t>
      </w:r>
    </w:p>
    <w:p w14:paraId="2B0AEF26" w14:textId="77777777" w:rsidR="007C6FFC" w:rsidRPr="00507538" w:rsidRDefault="007C6FFC" w:rsidP="007C6FFC">
      <w:pPr>
        <w:numPr>
          <w:ilvl w:val="1"/>
          <w:numId w:val="30"/>
        </w:numPr>
        <w:overflowPunct/>
        <w:autoSpaceDE/>
        <w:autoSpaceDN/>
        <w:adjustRightInd/>
        <w:spacing w:after="0"/>
        <w:textAlignment w:val="auto"/>
        <w:rPr>
          <w:rFonts w:eastAsia="MS Mincho"/>
          <w:i/>
          <w:lang w:eastAsia="ja-JP"/>
        </w:rPr>
      </w:pPr>
      <w:r w:rsidRPr="00507538">
        <w:rPr>
          <w:rFonts w:eastAsia="MS Mincho"/>
          <w:i/>
          <w:lang w:eastAsia="ja-JP"/>
        </w:rPr>
        <w:t>Details FFS</w:t>
      </w:r>
    </w:p>
    <w:p w14:paraId="5D8557F9" w14:textId="77777777" w:rsidR="007C6FFC" w:rsidRPr="00507538" w:rsidRDefault="007C6FFC" w:rsidP="007C6FFC">
      <w:pPr>
        <w:numPr>
          <w:ilvl w:val="1"/>
          <w:numId w:val="30"/>
        </w:numPr>
        <w:overflowPunct/>
        <w:autoSpaceDE/>
        <w:autoSpaceDN/>
        <w:adjustRightInd/>
        <w:spacing w:after="0"/>
        <w:textAlignment w:val="auto"/>
        <w:rPr>
          <w:rFonts w:eastAsia="MS Mincho"/>
          <w:i/>
          <w:lang w:eastAsia="ja-JP"/>
        </w:rPr>
      </w:pPr>
      <w:r w:rsidRPr="00507538">
        <w:rPr>
          <w:rFonts w:eastAsia="MS Mincho"/>
          <w:i/>
          <w:lang w:eastAsia="ja-JP"/>
        </w:rPr>
        <w:t>Techniques can be evaluated for the uplink scenarios</w:t>
      </w:r>
    </w:p>
    <w:p w14:paraId="18137392" w14:textId="5F8CDD1F" w:rsidR="007C6FFC" w:rsidRPr="00507538" w:rsidRDefault="007C6FFC" w:rsidP="00CD10F3">
      <w:pPr>
        <w:pStyle w:val="ListParagraph"/>
        <w:numPr>
          <w:ilvl w:val="2"/>
          <w:numId w:val="30"/>
        </w:numPr>
        <w:jc w:val="both"/>
        <w:rPr>
          <w:rFonts w:ascii="Times New Roman" w:eastAsia="MS Mincho" w:hAnsi="Times New Roman"/>
          <w:i/>
          <w:sz w:val="20"/>
          <w:szCs w:val="20"/>
          <w:lang w:eastAsia="ja-JP"/>
        </w:rPr>
      </w:pPr>
      <w:r w:rsidRPr="00507538">
        <w:rPr>
          <w:rFonts w:ascii="Times New Roman" w:eastAsia="MS Mincho" w:hAnsi="Times New Roman"/>
          <w:i/>
          <w:sz w:val="20"/>
          <w:szCs w:val="20"/>
          <w:lang w:eastAsia="ja-JP"/>
        </w:rPr>
        <w:t>E.g., low PAPR/CM techniques (including DFT-s-OFDM)</w:t>
      </w:r>
    </w:p>
    <w:p w14:paraId="2D4AF0D3" w14:textId="40622A91" w:rsidR="001D27F9" w:rsidRPr="00507538" w:rsidRDefault="001D27F9" w:rsidP="007C6FFC">
      <w:pPr>
        <w:jc w:val="both"/>
        <w:rPr>
          <w:rFonts w:eastAsia="MS Mincho"/>
          <w:lang w:eastAsia="ja-JP"/>
        </w:rPr>
      </w:pPr>
      <w:r w:rsidRPr="00507538">
        <w:rPr>
          <w:rFonts w:eastAsia="MS Mincho"/>
          <w:lang w:eastAsia="ja-JP"/>
        </w:rPr>
        <w:t xml:space="preserve">Notice that the low PAPR techniques are only discussed in the context of uplink, and mainly focused on eMBB for NR phase 1, as agreed in </w:t>
      </w:r>
      <w:r w:rsidR="00AB72AE" w:rsidRPr="00507538">
        <w:rPr>
          <w:rFonts w:eastAsia="MS Mincho"/>
          <w:lang w:eastAsia="ja-JP"/>
        </w:rPr>
        <w:fldChar w:fldCharType="begin"/>
      </w:r>
      <w:r w:rsidR="00AB72AE" w:rsidRPr="00507538">
        <w:rPr>
          <w:rFonts w:eastAsia="MS Mincho"/>
          <w:lang w:eastAsia="ja-JP"/>
        </w:rPr>
        <w:instrText xml:space="preserve"> REF _Ref462746119 \r \h </w:instrText>
      </w:r>
      <w:r w:rsidR="00507538">
        <w:rPr>
          <w:rFonts w:eastAsia="MS Mincho"/>
          <w:lang w:eastAsia="ja-JP"/>
        </w:rPr>
        <w:instrText xml:space="preserve"> \* MERGEFORMAT </w:instrText>
      </w:r>
      <w:r w:rsidR="00AB72AE" w:rsidRPr="00507538">
        <w:rPr>
          <w:rFonts w:eastAsia="MS Mincho"/>
          <w:lang w:eastAsia="ja-JP"/>
        </w:rPr>
      </w:r>
      <w:r w:rsidR="00AB72AE" w:rsidRPr="00507538">
        <w:rPr>
          <w:rFonts w:eastAsia="MS Mincho"/>
          <w:lang w:eastAsia="ja-JP"/>
        </w:rPr>
        <w:fldChar w:fldCharType="separate"/>
      </w:r>
      <w:r w:rsidR="00AB72AE" w:rsidRPr="00507538">
        <w:rPr>
          <w:rFonts w:eastAsia="MS Mincho"/>
          <w:lang w:eastAsia="ja-JP"/>
        </w:rPr>
        <w:t>[4]</w:t>
      </w:r>
      <w:r w:rsidR="00AB72AE" w:rsidRPr="00507538">
        <w:rPr>
          <w:rFonts w:eastAsia="MS Mincho"/>
          <w:lang w:eastAsia="ja-JP"/>
        </w:rPr>
        <w:fldChar w:fldCharType="end"/>
      </w:r>
      <w:r w:rsidR="00AB72AE" w:rsidRPr="00507538">
        <w:rPr>
          <w:rFonts w:eastAsia="MS Mincho"/>
          <w:lang w:eastAsia="ja-JP"/>
        </w:rPr>
        <w:t>:</w:t>
      </w:r>
    </w:p>
    <w:p w14:paraId="4C5EBDC1" w14:textId="77777777" w:rsidR="00104C9B" w:rsidRPr="00507538" w:rsidRDefault="00104C9B" w:rsidP="00104C9B">
      <w:pPr>
        <w:numPr>
          <w:ilvl w:val="0"/>
          <w:numId w:val="31"/>
        </w:numPr>
        <w:overflowPunct/>
        <w:autoSpaceDE/>
        <w:autoSpaceDN/>
        <w:adjustRightInd/>
        <w:spacing w:after="0"/>
        <w:textAlignment w:val="auto"/>
        <w:rPr>
          <w:rFonts w:eastAsia="MS Mincho"/>
          <w:i/>
          <w:lang w:eastAsia="ja-JP"/>
        </w:rPr>
      </w:pPr>
      <w:r w:rsidRPr="00507538">
        <w:rPr>
          <w:rFonts w:eastAsia="MS Mincho"/>
          <w:i/>
          <w:lang w:eastAsia="ja-JP"/>
        </w:rPr>
        <w:t xml:space="preserve">At least up to 40 GHz for eMBB and URLLC services, </w:t>
      </w:r>
    </w:p>
    <w:p w14:paraId="69A2723F" w14:textId="77777777" w:rsidR="00104C9B" w:rsidRPr="00507538" w:rsidRDefault="00104C9B" w:rsidP="00104C9B">
      <w:pPr>
        <w:numPr>
          <w:ilvl w:val="1"/>
          <w:numId w:val="31"/>
        </w:numPr>
        <w:overflowPunct/>
        <w:autoSpaceDE/>
        <w:autoSpaceDN/>
        <w:adjustRightInd/>
        <w:spacing w:after="0"/>
        <w:textAlignment w:val="auto"/>
        <w:rPr>
          <w:rFonts w:eastAsia="MS Mincho"/>
          <w:i/>
          <w:lang w:eastAsia="ja-JP"/>
        </w:rPr>
      </w:pPr>
      <w:r w:rsidRPr="00507538">
        <w:rPr>
          <w:rFonts w:eastAsia="MS Mincho"/>
          <w:i/>
          <w:lang w:eastAsia="ja-JP"/>
        </w:rPr>
        <w:t>CP-OFDM without specified low-PAPR/CM technique(s) is recommended to be supported for uplink</w:t>
      </w:r>
    </w:p>
    <w:p w14:paraId="1805D2A0" w14:textId="77777777" w:rsidR="00104C9B" w:rsidRPr="00507538" w:rsidRDefault="00104C9B" w:rsidP="00104C9B">
      <w:pPr>
        <w:numPr>
          <w:ilvl w:val="1"/>
          <w:numId w:val="31"/>
        </w:numPr>
        <w:overflowPunct/>
        <w:autoSpaceDE/>
        <w:autoSpaceDN/>
        <w:adjustRightInd/>
        <w:spacing w:after="0"/>
        <w:textAlignment w:val="auto"/>
        <w:rPr>
          <w:rFonts w:eastAsia="MS Mincho"/>
          <w:i/>
          <w:lang w:eastAsia="ja-JP"/>
        </w:rPr>
      </w:pPr>
      <w:r w:rsidRPr="00507538">
        <w:rPr>
          <w:rFonts w:eastAsia="MS Mincho"/>
          <w:i/>
          <w:lang w:eastAsia="ja-JP"/>
        </w:rPr>
        <w:t>For data transmission, additional low-PAPR/CM technique(s) is only considered for uplink from RAN1 specification perspective</w:t>
      </w:r>
    </w:p>
    <w:p w14:paraId="326E01A4" w14:textId="77777777" w:rsidR="00104C9B" w:rsidRPr="00507538" w:rsidRDefault="00104C9B" w:rsidP="00104C9B">
      <w:pPr>
        <w:numPr>
          <w:ilvl w:val="2"/>
          <w:numId w:val="31"/>
        </w:numPr>
        <w:overflowPunct/>
        <w:autoSpaceDE/>
        <w:autoSpaceDN/>
        <w:adjustRightInd/>
        <w:spacing w:after="0"/>
        <w:textAlignment w:val="auto"/>
        <w:rPr>
          <w:rFonts w:eastAsia="MS Mincho"/>
          <w:i/>
          <w:lang w:eastAsia="ja-JP"/>
        </w:rPr>
      </w:pPr>
      <w:r w:rsidRPr="00507538">
        <w:rPr>
          <w:rFonts w:eastAsia="MS Mincho"/>
          <w:i/>
          <w:lang w:eastAsia="ja-JP"/>
        </w:rPr>
        <w:t>Additional low-PAPR/CM technique(s) for special downlink signals such as sync signals is FFS</w:t>
      </w:r>
    </w:p>
    <w:p w14:paraId="4141CF4A" w14:textId="77777777" w:rsidR="00104C9B" w:rsidRPr="00507538" w:rsidRDefault="00104C9B" w:rsidP="00104C9B">
      <w:pPr>
        <w:numPr>
          <w:ilvl w:val="2"/>
          <w:numId w:val="31"/>
        </w:numPr>
        <w:overflowPunct/>
        <w:autoSpaceDE/>
        <w:autoSpaceDN/>
        <w:adjustRightInd/>
        <w:spacing w:after="0"/>
        <w:textAlignment w:val="auto"/>
        <w:rPr>
          <w:rFonts w:eastAsia="MS Mincho"/>
          <w:i/>
          <w:lang w:eastAsia="ja-JP"/>
        </w:rPr>
      </w:pPr>
      <w:r w:rsidRPr="00507538">
        <w:rPr>
          <w:rFonts w:eastAsia="MS Mincho"/>
          <w:i/>
          <w:lang w:eastAsia="ja-JP"/>
        </w:rPr>
        <w:t>Additional low-PAPR/CM technique(s) for other uplink signals/channels is FFS</w:t>
      </w:r>
    </w:p>
    <w:p w14:paraId="43236E2F" w14:textId="1327BB3B" w:rsidR="00CD10F3" w:rsidRDefault="00104C9B" w:rsidP="00507538">
      <w:pPr>
        <w:numPr>
          <w:ilvl w:val="1"/>
          <w:numId w:val="31"/>
        </w:numPr>
        <w:overflowPunct/>
        <w:autoSpaceDE/>
        <w:autoSpaceDN/>
        <w:adjustRightInd/>
        <w:spacing w:after="0"/>
        <w:textAlignment w:val="auto"/>
        <w:rPr>
          <w:rFonts w:eastAsia="MS Mincho"/>
          <w:i/>
          <w:lang w:eastAsia="ja-JP"/>
        </w:rPr>
      </w:pPr>
      <w:r w:rsidRPr="00507538">
        <w:rPr>
          <w:rFonts w:eastAsia="MS Mincho"/>
          <w:i/>
          <w:lang w:eastAsia="ja-JP"/>
        </w:rPr>
        <w:t xml:space="preserve">Additional low PAPR/CM technique(s), if specified, and CP-OFDM without specified low-PAPR/CM technique(s) for uplink are considered </w:t>
      </w:r>
      <w:r w:rsidRPr="00507538">
        <w:rPr>
          <w:rFonts w:eastAsia="MS Mincho"/>
          <w:i/>
          <w:iCs/>
          <w:lang w:eastAsia="ja-JP"/>
        </w:rPr>
        <w:t>as complementary to each other</w:t>
      </w:r>
      <w:r w:rsidRPr="00507538">
        <w:rPr>
          <w:rFonts w:eastAsia="MS Mincho"/>
          <w:i/>
          <w:lang w:eastAsia="ja-JP"/>
        </w:rPr>
        <w:t xml:space="preserve"> </w:t>
      </w:r>
    </w:p>
    <w:p w14:paraId="1D8BB191" w14:textId="77777777" w:rsidR="00507538" w:rsidRPr="00507538" w:rsidRDefault="00507538" w:rsidP="00507538">
      <w:pPr>
        <w:overflowPunct/>
        <w:autoSpaceDE/>
        <w:autoSpaceDN/>
        <w:adjustRightInd/>
        <w:spacing w:after="0"/>
        <w:ind w:left="1440"/>
        <w:textAlignment w:val="auto"/>
        <w:rPr>
          <w:rFonts w:eastAsia="MS Mincho"/>
          <w:i/>
          <w:lang w:eastAsia="ja-JP"/>
        </w:rPr>
      </w:pPr>
    </w:p>
    <w:p w14:paraId="0CDD4C6E" w14:textId="60C0B729" w:rsidR="00A649DC" w:rsidRDefault="00CD10F3" w:rsidP="00A649DC">
      <w:pPr>
        <w:jc w:val="both"/>
      </w:pPr>
      <w:r w:rsidRPr="00CD10F3">
        <w:t>Low PAPR techniques for cellular uplink has been extensively studied in literature, even in the initial studies of 4G LTE deployment. Low PAPR techniques are critical in achieving better PA efficiency, which in turn results in better cell coverage</w:t>
      </w:r>
      <w:r w:rsidR="00D25651">
        <w:t>,</w:t>
      </w:r>
      <w:r w:rsidRPr="00CD10F3">
        <w:t xml:space="preserve"> lower battery consumption </w:t>
      </w:r>
      <w:r w:rsidR="00D25651">
        <w:t xml:space="preserve">and lower thermal dissipation on UE devices </w:t>
      </w:r>
      <w:r w:rsidR="00D25651">
        <w:fldChar w:fldCharType="begin"/>
      </w:r>
      <w:r w:rsidR="00D25651">
        <w:instrText xml:space="preserve"> REF _Ref462844531 \n \h </w:instrText>
      </w:r>
      <w:r w:rsidR="00D25651">
        <w:fldChar w:fldCharType="separate"/>
      </w:r>
      <w:r w:rsidR="00D25651">
        <w:t>[5]</w:t>
      </w:r>
      <w:r w:rsidR="00D25651">
        <w:fldChar w:fldCharType="end"/>
      </w:r>
      <w:r w:rsidRPr="00CD10F3">
        <w:t xml:space="preserve"> for cell edge users. Those are much desired properties not only from fundamental network planning perspective, but also better user experiences. As a result, LTE chose DFT-S-OFDM as the default waveform for the uplink.</w:t>
      </w:r>
      <w:r w:rsidR="007C339F">
        <w:t xml:space="preserve"> </w:t>
      </w:r>
      <w:r w:rsidR="00A649DC">
        <w:t xml:space="preserve">In </w:t>
      </w:r>
      <w:r w:rsidR="00A649DC">
        <w:fldChar w:fldCharType="begin"/>
      </w:r>
      <w:r w:rsidR="00A649DC">
        <w:instrText xml:space="preserve"> REF _Ref462844531 \r \h </w:instrText>
      </w:r>
      <w:r w:rsidR="00A649DC">
        <w:fldChar w:fldCharType="separate"/>
      </w:r>
      <w:r w:rsidR="00A649DC">
        <w:t>[5]</w:t>
      </w:r>
      <w:r w:rsidR="00A649DC">
        <w:fldChar w:fldCharType="end"/>
      </w:r>
      <w:r w:rsidR="00A649DC">
        <w:t>, we give a high level</w:t>
      </w:r>
      <w:r w:rsidR="001039FD">
        <w:t xml:space="preserve"> motivation and justification of supporting DFT-S-OFDM, together with CP-OFDM, in eMBB uplink for the coverage (or link budget) limited scenarios. It is expected that link budget limited scenarios mostly happen in the cell edge in macro cells.</w:t>
      </w:r>
    </w:p>
    <w:p w14:paraId="23B45F9E" w14:textId="77777777" w:rsidR="00507538" w:rsidRDefault="00E368A4" w:rsidP="003570F9">
      <w:pPr>
        <w:jc w:val="both"/>
      </w:pPr>
      <w:r>
        <w:t>In this contribution, we</w:t>
      </w:r>
      <w:r w:rsidR="00FD1B9A">
        <w:t xml:space="preserve"> </w:t>
      </w:r>
      <w:r w:rsidR="003D3FC0">
        <w:t>evaluate</w:t>
      </w:r>
      <w:r w:rsidR="001039FD">
        <w:t xml:space="preserve"> the </w:t>
      </w:r>
      <w:r w:rsidR="003D3FC0">
        <w:t>r</w:t>
      </w:r>
      <w:r w:rsidR="001039FD">
        <w:t>elative gain on link budg</w:t>
      </w:r>
      <w:r w:rsidR="00507538">
        <w:t>et improvement by using non-codebook-based</w:t>
      </w:r>
      <w:r w:rsidR="001039FD">
        <w:t xml:space="preserve"> </w:t>
      </w:r>
      <w:r w:rsidR="00507538">
        <w:t>beam forming for cell edge users</w:t>
      </w:r>
      <w:r w:rsidR="001039FD">
        <w:t>, by using DFT-S-OFDM and CP-OFDM, respectively.</w:t>
      </w:r>
      <w:r w:rsidR="003D3FC0">
        <w:t xml:space="preserve"> Of course, such</w:t>
      </w:r>
      <w:r w:rsidR="00507538">
        <w:t xml:space="preserve"> beamforming</w:t>
      </w:r>
      <w:r w:rsidR="003D3FC0">
        <w:t xml:space="preserve"> gain only applies to the class of UE’s with multiple transmit antennas. </w:t>
      </w:r>
    </w:p>
    <w:p w14:paraId="77816BCB" w14:textId="1E5CF7D9" w:rsidR="003570F9" w:rsidRPr="00E368A4" w:rsidRDefault="00C86820" w:rsidP="003570F9">
      <w:pPr>
        <w:jc w:val="both"/>
      </w:pPr>
      <w:r>
        <w:t>We observe that a</w:t>
      </w:r>
      <w:r w:rsidR="00507538">
        <w:t xml:space="preserve"> </w:t>
      </w:r>
      <w:r>
        <w:t>per-RB</w:t>
      </w:r>
      <w:r w:rsidR="00110DBB">
        <w:t xml:space="preserve"> svd-based beamforming</w:t>
      </w:r>
      <w:r w:rsidR="00507538">
        <w:t xml:space="preserve"> </w:t>
      </w:r>
      <w:r w:rsidR="00110DBB">
        <w:t>can provide at most</w:t>
      </w:r>
      <w:r w:rsidR="00507538">
        <w:t xml:space="preserve"> </w:t>
      </w:r>
      <w:r w:rsidR="008267EF">
        <w:t xml:space="preserve">0.1 - </w:t>
      </w:r>
      <w:r w:rsidR="00507538">
        <w:t>0.3</w:t>
      </w:r>
      <w:r w:rsidR="00110DBB">
        <w:t>5</w:t>
      </w:r>
      <w:r w:rsidR="00507538">
        <w:t xml:space="preserve"> dB of additional beamforming gain compared to a per-allocation beamforming even for fading channels with high frequency selectivity (e.g., TDL-C wit</w:t>
      </w:r>
      <w:r w:rsidR="0018345E">
        <w:t xml:space="preserve">h 300 nsec r.m.s. delay spread), </w:t>
      </w:r>
      <w:r w:rsidR="00507538">
        <w:t>an allocation size of 10 RBs (1.8 MHz allocation)</w:t>
      </w:r>
      <w:r w:rsidR="0018345E">
        <w:t>, and a UE with 2 transmit antennas</w:t>
      </w:r>
      <w:r w:rsidR="007C1F82">
        <w:t>, even in scenarios with optimistic channel knowledge at the transmitter</w:t>
      </w:r>
      <w:r w:rsidR="00507538">
        <w:t xml:space="preserve">. </w:t>
      </w:r>
      <w:r w:rsidR="00110DBB">
        <w:t xml:space="preserve">In scenarios of low quality </w:t>
      </w:r>
      <w:r w:rsidR="007C1F82">
        <w:t xml:space="preserve">of </w:t>
      </w:r>
      <w:r w:rsidR="00110DBB">
        <w:t xml:space="preserve">channel knowledge of the transmitter, which </w:t>
      </w:r>
      <w:r w:rsidR="00110DBB">
        <w:lastRenderedPageBreak/>
        <w:t xml:space="preserve">is potentially the case of the cell edge users, a per-RB beamforming could even lead to worse beamforming </w:t>
      </w:r>
      <w:r w:rsidR="00E363D8">
        <w:t xml:space="preserve">gain </w:t>
      </w:r>
      <w:r w:rsidR="00110DBB">
        <w:t>than per-a</w:t>
      </w:r>
      <w:r w:rsidR="00E363D8">
        <w:t>llocation beamforming.</w:t>
      </w:r>
    </w:p>
    <w:p w14:paraId="6A808625" w14:textId="3C0FEB5A" w:rsidR="007D7698" w:rsidRDefault="00A55AF1" w:rsidP="00564597">
      <w:pPr>
        <w:pStyle w:val="Heading1"/>
      </w:pPr>
      <w:r>
        <w:t>Discussion</w:t>
      </w:r>
    </w:p>
    <w:p w14:paraId="21C80459" w14:textId="03074EA7" w:rsidR="00165AC4" w:rsidRDefault="005F1598" w:rsidP="00165AC4">
      <w:pPr>
        <w:pStyle w:val="Heading2"/>
      </w:pPr>
      <w:r>
        <w:t>Link-</w:t>
      </w:r>
      <w:r w:rsidR="00AB610E">
        <w:t>budget limited scenarios</w:t>
      </w:r>
    </w:p>
    <w:p w14:paraId="6AF397DC" w14:textId="1FDED32C" w:rsidR="000B1CDB" w:rsidRDefault="00AB610E" w:rsidP="005F1598">
      <w:pPr>
        <w:jc w:val="both"/>
        <w:rPr>
          <w:sz w:val="22"/>
          <w:lang w:val="en-GB"/>
        </w:rPr>
      </w:pPr>
      <w:r w:rsidRPr="00AE302C">
        <w:rPr>
          <w:sz w:val="22"/>
          <w:lang w:val="en-GB"/>
        </w:rPr>
        <w:t xml:space="preserve">For sub-6 </w:t>
      </w:r>
      <w:r w:rsidR="000B1CDB">
        <w:rPr>
          <w:sz w:val="22"/>
          <w:lang w:val="en-GB"/>
        </w:rPr>
        <w:t xml:space="preserve">GHz deployment scenarios, DFT-S-OFDM is intended to be used </w:t>
      </w:r>
      <w:r w:rsidR="006D71AE">
        <w:rPr>
          <w:sz w:val="22"/>
          <w:lang w:val="en-GB"/>
        </w:rPr>
        <w:t>in</w:t>
      </w:r>
      <w:r w:rsidR="000B1CDB">
        <w:rPr>
          <w:sz w:val="22"/>
          <w:lang w:val="en-GB"/>
        </w:rPr>
        <w:t xml:space="preserve"> the following use cases:</w:t>
      </w:r>
    </w:p>
    <w:p w14:paraId="57327949" w14:textId="0A258FF6" w:rsidR="000B1CDB" w:rsidRPr="000B1CDB" w:rsidRDefault="000B1CDB" w:rsidP="005F1598">
      <w:pPr>
        <w:pStyle w:val="ListParagraph"/>
        <w:numPr>
          <w:ilvl w:val="0"/>
          <w:numId w:val="31"/>
        </w:numPr>
        <w:jc w:val="both"/>
        <w:rPr>
          <w:rFonts w:ascii="Times New Roman" w:eastAsia="SimSun" w:hAnsi="Times New Roman"/>
          <w:szCs w:val="20"/>
          <w:lang w:val="en-GB"/>
        </w:rPr>
      </w:pPr>
      <w:r>
        <w:rPr>
          <w:rFonts w:ascii="Times New Roman" w:eastAsia="SimSun" w:hAnsi="Times New Roman"/>
          <w:szCs w:val="20"/>
          <w:lang w:val="en-GB"/>
        </w:rPr>
        <w:t>Cell-</w:t>
      </w:r>
      <w:r w:rsidR="003D3FC0" w:rsidRPr="000B1CDB">
        <w:rPr>
          <w:rFonts w:ascii="Times New Roman" w:eastAsia="SimSun" w:hAnsi="Times New Roman"/>
          <w:szCs w:val="20"/>
          <w:lang w:val="en-GB"/>
        </w:rPr>
        <w:t>edge users</w:t>
      </w:r>
      <w:r>
        <w:rPr>
          <w:rFonts w:ascii="Times New Roman" w:eastAsia="SimSun" w:hAnsi="Times New Roman"/>
          <w:szCs w:val="20"/>
          <w:lang w:val="en-GB"/>
        </w:rPr>
        <w:t xml:space="preserve"> which</w:t>
      </w:r>
      <w:r w:rsidR="003D3FC0" w:rsidRPr="000B1CDB">
        <w:rPr>
          <w:rFonts w:ascii="Times New Roman" w:eastAsia="SimSun" w:hAnsi="Times New Roman"/>
          <w:szCs w:val="20"/>
          <w:lang w:val="en-GB"/>
        </w:rPr>
        <w:t xml:space="preserve"> are power</w:t>
      </w:r>
      <w:r>
        <w:rPr>
          <w:rFonts w:ascii="Times New Roman" w:eastAsia="SimSun" w:hAnsi="Times New Roman"/>
          <w:szCs w:val="20"/>
          <w:lang w:val="en-GB"/>
        </w:rPr>
        <w:t>/thermal</w:t>
      </w:r>
      <w:r w:rsidR="003D3FC0" w:rsidRPr="000B1CDB">
        <w:rPr>
          <w:rFonts w:ascii="Times New Roman" w:eastAsia="SimSun" w:hAnsi="Times New Roman"/>
          <w:szCs w:val="20"/>
          <w:lang w:val="en-GB"/>
        </w:rPr>
        <w:t xml:space="preserve"> limited, </w:t>
      </w:r>
      <w:r>
        <w:rPr>
          <w:rFonts w:ascii="Times New Roman" w:eastAsia="SimSun" w:hAnsi="Times New Roman"/>
          <w:szCs w:val="20"/>
          <w:lang w:val="en-GB"/>
        </w:rPr>
        <w:t>and not dimension limited.</w:t>
      </w:r>
    </w:p>
    <w:p w14:paraId="6E322EFD" w14:textId="5CD97774" w:rsidR="003D3FC0" w:rsidRDefault="000B1CDB" w:rsidP="005F1598">
      <w:pPr>
        <w:pStyle w:val="ListParagraph"/>
        <w:numPr>
          <w:ilvl w:val="0"/>
          <w:numId w:val="31"/>
        </w:numPr>
        <w:jc w:val="both"/>
        <w:rPr>
          <w:rFonts w:ascii="Times New Roman" w:eastAsia="SimSun" w:hAnsi="Times New Roman"/>
          <w:szCs w:val="20"/>
          <w:lang w:val="en-GB"/>
        </w:rPr>
      </w:pPr>
      <w:r w:rsidRPr="000B1CDB">
        <w:rPr>
          <w:rFonts w:ascii="Times New Roman" w:eastAsia="SimSun" w:hAnsi="Times New Roman"/>
          <w:szCs w:val="20"/>
          <w:lang w:val="en-GB"/>
        </w:rPr>
        <w:t>Wider bandwidth allocation</w:t>
      </w:r>
      <w:r w:rsidR="003D3FC0" w:rsidRPr="000B1CDB">
        <w:rPr>
          <w:rFonts w:ascii="Times New Roman" w:eastAsia="SimSun" w:hAnsi="Times New Roman"/>
          <w:szCs w:val="20"/>
          <w:lang w:val="en-GB"/>
        </w:rPr>
        <w:t xml:space="preserve"> doesn’t help</w:t>
      </w:r>
      <w:r w:rsidRPr="000B1CDB">
        <w:rPr>
          <w:rFonts w:ascii="Times New Roman" w:eastAsia="SimSun" w:hAnsi="Times New Roman"/>
          <w:szCs w:val="20"/>
          <w:lang w:val="en-GB"/>
        </w:rPr>
        <w:t xml:space="preserve"> in providing better performance,</w:t>
      </w:r>
      <w:r w:rsidR="003D3FC0" w:rsidRPr="000B1CDB">
        <w:rPr>
          <w:rFonts w:ascii="Times New Roman" w:eastAsia="SimSun" w:hAnsi="Times New Roman"/>
          <w:szCs w:val="20"/>
          <w:lang w:val="en-GB"/>
        </w:rPr>
        <w:t xml:space="preserve"> and can even hurt channel estimation</w:t>
      </w:r>
      <w:r w:rsidRPr="000B1CDB">
        <w:rPr>
          <w:rFonts w:ascii="Times New Roman" w:eastAsia="SimSun" w:hAnsi="Times New Roman"/>
          <w:szCs w:val="20"/>
          <w:lang w:val="en-GB"/>
        </w:rPr>
        <w:t xml:space="preserve"> performance. Therefore, in the scenarios of interest, these UEs will be assigned </w:t>
      </w:r>
      <w:r w:rsidR="003D3FC0" w:rsidRPr="000B1CDB">
        <w:rPr>
          <w:rFonts w:ascii="Times New Roman" w:eastAsia="SimSun" w:hAnsi="Times New Roman"/>
          <w:szCs w:val="20"/>
          <w:lang w:val="en-GB"/>
        </w:rPr>
        <w:t>narrow band allocations.</w:t>
      </w:r>
    </w:p>
    <w:p w14:paraId="018A3B9E" w14:textId="73FD2616" w:rsidR="000B1CDB" w:rsidRDefault="00780D3B" w:rsidP="005F1598">
      <w:pPr>
        <w:pStyle w:val="ListParagraph"/>
        <w:numPr>
          <w:ilvl w:val="0"/>
          <w:numId w:val="31"/>
        </w:numPr>
        <w:jc w:val="both"/>
        <w:rPr>
          <w:rFonts w:ascii="Times New Roman" w:eastAsia="SimSun" w:hAnsi="Times New Roman"/>
          <w:szCs w:val="20"/>
          <w:lang w:val="en-GB"/>
        </w:rPr>
      </w:pPr>
      <w:r w:rsidRPr="000B1CDB">
        <w:rPr>
          <w:rFonts w:ascii="Times New Roman" w:eastAsia="SimSun" w:hAnsi="Times New Roman"/>
          <w:szCs w:val="20"/>
          <w:lang w:val="en-GB"/>
        </w:rPr>
        <w:t>The UE</w:t>
      </w:r>
      <w:r w:rsidR="000B1CDB" w:rsidRPr="000B1CDB">
        <w:rPr>
          <w:rFonts w:ascii="Times New Roman" w:eastAsia="SimSun" w:hAnsi="Times New Roman"/>
          <w:szCs w:val="20"/>
          <w:lang w:val="en-GB"/>
        </w:rPr>
        <w:t>s</w:t>
      </w:r>
      <w:r w:rsidRPr="000B1CDB">
        <w:rPr>
          <w:rFonts w:ascii="Times New Roman" w:eastAsia="SimSun" w:hAnsi="Times New Roman"/>
          <w:szCs w:val="20"/>
          <w:lang w:val="en-GB"/>
        </w:rPr>
        <w:t xml:space="preserve"> </w:t>
      </w:r>
      <w:r w:rsidR="000B1CDB" w:rsidRPr="000B1CDB">
        <w:rPr>
          <w:rFonts w:ascii="Times New Roman" w:eastAsia="SimSun" w:hAnsi="Times New Roman"/>
          <w:szCs w:val="20"/>
          <w:lang w:val="en-GB"/>
        </w:rPr>
        <w:t>typically have fewer antennas than</w:t>
      </w:r>
      <w:r w:rsidR="000B1CDB" w:rsidRPr="005F1598">
        <w:rPr>
          <w:rFonts w:ascii="Times New Roman" w:eastAsia="SimSun" w:hAnsi="Times New Roman"/>
          <w:szCs w:val="20"/>
          <w:lang w:val="en-GB"/>
        </w:rPr>
        <w:t xml:space="preserve"> the</w:t>
      </w:r>
      <w:r w:rsidR="00C86EDA">
        <w:rPr>
          <w:rFonts w:ascii="Times New Roman" w:eastAsia="SimSun" w:hAnsi="Times New Roman"/>
          <w:szCs w:val="20"/>
          <w:lang w:val="en-GB"/>
        </w:rPr>
        <w:t xml:space="preserve"> serving base station, and tr</w:t>
      </w:r>
      <w:r w:rsidR="00FE32FE">
        <w:rPr>
          <w:rFonts w:ascii="Times New Roman" w:eastAsia="SimSun" w:hAnsi="Times New Roman"/>
          <w:szCs w:val="20"/>
          <w:lang w:val="en-GB"/>
        </w:rPr>
        <w:t>y</w:t>
      </w:r>
      <w:r w:rsidR="000B1CDB" w:rsidRPr="005F1598">
        <w:rPr>
          <w:rFonts w:ascii="Times New Roman" w:eastAsia="SimSun" w:hAnsi="Times New Roman"/>
          <w:szCs w:val="20"/>
          <w:lang w:val="en-GB"/>
        </w:rPr>
        <w:t xml:space="preserve"> </w:t>
      </w:r>
      <w:r w:rsidR="00FE32FE">
        <w:rPr>
          <w:rFonts w:ascii="Times New Roman" w:eastAsia="SimSun" w:hAnsi="Times New Roman"/>
          <w:szCs w:val="20"/>
          <w:lang w:val="en-GB"/>
        </w:rPr>
        <w:t>to beamform towards the main direction</w:t>
      </w:r>
      <w:r w:rsidR="000B1CDB" w:rsidRPr="005F1598">
        <w:rPr>
          <w:rFonts w:ascii="Times New Roman" w:eastAsia="SimSun" w:hAnsi="Times New Roman"/>
          <w:szCs w:val="20"/>
          <w:lang w:val="en-GB"/>
        </w:rPr>
        <w:t xml:space="preserve"> to close the link.</w:t>
      </w:r>
    </w:p>
    <w:p w14:paraId="6CC7A433" w14:textId="77777777" w:rsidR="005F1598" w:rsidRPr="005F1598" w:rsidRDefault="005F1598" w:rsidP="005F1598">
      <w:pPr>
        <w:pStyle w:val="ListParagraph"/>
        <w:jc w:val="both"/>
        <w:rPr>
          <w:rFonts w:ascii="Times New Roman" w:eastAsia="SimSun" w:hAnsi="Times New Roman"/>
          <w:szCs w:val="20"/>
          <w:lang w:val="en-GB"/>
        </w:rPr>
      </w:pPr>
    </w:p>
    <w:p w14:paraId="03E332BC" w14:textId="0BDE5FF7" w:rsidR="005F1598" w:rsidRDefault="00AB610E" w:rsidP="005F1598">
      <w:pPr>
        <w:jc w:val="both"/>
        <w:rPr>
          <w:sz w:val="22"/>
          <w:lang w:val="en-GB"/>
        </w:rPr>
      </w:pPr>
      <w:r w:rsidRPr="00AE302C">
        <w:rPr>
          <w:sz w:val="22"/>
          <w:lang w:val="en-GB"/>
        </w:rPr>
        <w:t>For mmW</w:t>
      </w:r>
      <w:r w:rsidR="007C339F">
        <w:rPr>
          <w:sz w:val="22"/>
          <w:lang w:val="en-GB"/>
        </w:rPr>
        <w:t>ave</w:t>
      </w:r>
      <w:r w:rsidR="000B1CDB">
        <w:rPr>
          <w:sz w:val="22"/>
          <w:lang w:val="en-GB"/>
        </w:rPr>
        <w:t xml:space="preserve"> deployment scenarios, </w:t>
      </w:r>
      <w:r w:rsidR="005F1598">
        <w:rPr>
          <w:sz w:val="22"/>
          <w:lang w:val="en-GB"/>
        </w:rPr>
        <w:t>the following considerations need to be taken into account</w:t>
      </w:r>
      <w:r w:rsidRPr="00AE302C">
        <w:rPr>
          <w:sz w:val="22"/>
          <w:lang w:val="en-GB"/>
        </w:rPr>
        <w:t>:</w:t>
      </w:r>
    </w:p>
    <w:p w14:paraId="066851F8" w14:textId="3A9B3990" w:rsidR="005F1598" w:rsidRPr="005F1598" w:rsidRDefault="005F1598" w:rsidP="005F1598">
      <w:pPr>
        <w:pStyle w:val="ListParagraph"/>
        <w:numPr>
          <w:ilvl w:val="0"/>
          <w:numId w:val="37"/>
        </w:numPr>
        <w:jc w:val="both"/>
        <w:rPr>
          <w:rFonts w:ascii="Times New Roman" w:eastAsia="SimSun" w:hAnsi="Times New Roman"/>
          <w:szCs w:val="20"/>
          <w:lang w:val="en-GB"/>
        </w:rPr>
      </w:pPr>
      <w:r w:rsidRPr="005F1598">
        <w:rPr>
          <w:rFonts w:ascii="Times New Roman" w:eastAsia="SimSun" w:hAnsi="Times New Roman"/>
          <w:szCs w:val="20"/>
          <w:lang w:val="en-GB"/>
        </w:rPr>
        <w:t xml:space="preserve">In mmWave frequencies, </w:t>
      </w:r>
      <w:r>
        <w:rPr>
          <w:rFonts w:ascii="Times New Roman" w:eastAsia="SimSun" w:hAnsi="Times New Roman"/>
          <w:szCs w:val="20"/>
          <w:lang w:val="en-GB"/>
        </w:rPr>
        <w:t xml:space="preserve">allocation </w:t>
      </w:r>
      <w:r w:rsidR="003D3FC0" w:rsidRPr="005F1598">
        <w:rPr>
          <w:rFonts w:ascii="Times New Roman" w:eastAsia="SimSun" w:hAnsi="Times New Roman"/>
          <w:szCs w:val="20"/>
          <w:lang w:val="en-GB"/>
        </w:rPr>
        <w:t xml:space="preserve">can be wider </w:t>
      </w:r>
      <w:r>
        <w:rPr>
          <w:rFonts w:ascii="Times New Roman" w:eastAsia="SimSun" w:hAnsi="Times New Roman"/>
          <w:szCs w:val="20"/>
          <w:lang w:val="en-GB"/>
        </w:rPr>
        <w:t>than</w:t>
      </w:r>
      <w:r w:rsidR="0052044C">
        <w:rPr>
          <w:rFonts w:ascii="Times New Roman" w:eastAsia="SimSun" w:hAnsi="Times New Roman"/>
          <w:szCs w:val="20"/>
          <w:lang w:val="en-GB"/>
        </w:rPr>
        <w:t xml:space="preserve"> in</w:t>
      </w:r>
      <w:r>
        <w:rPr>
          <w:rFonts w:ascii="Times New Roman" w:eastAsia="SimSun" w:hAnsi="Times New Roman"/>
          <w:szCs w:val="20"/>
          <w:lang w:val="en-GB"/>
        </w:rPr>
        <w:t xml:space="preserve"> sub-6 GHz</w:t>
      </w:r>
      <w:r w:rsidR="007867E8">
        <w:rPr>
          <w:rFonts w:ascii="Times New Roman" w:eastAsia="SimSun" w:hAnsi="Times New Roman"/>
          <w:szCs w:val="20"/>
          <w:lang w:val="en-GB"/>
        </w:rPr>
        <w:t xml:space="preserve"> </w:t>
      </w:r>
      <w:r w:rsidR="007867E8" w:rsidRPr="005F1598">
        <w:rPr>
          <w:rFonts w:ascii="Times New Roman" w:eastAsia="SimSun" w:hAnsi="Times New Roman"/>
          <w:szCs w:val="20"/>
          <w:lang w:val="en-GB"/>
        </w:rPr>
        <w:t>frequencies</w:t>
      </w:r>
      <w:r w:rsidR="003D3FC0" w:rsidRPr="005F1598">
        <w:rPr>
          <w:rFonts w:ascii="Times New Roman" w:eastAsia="SimSun" w:hAnsi="Times New Roman"/>
          <w:szCs w:val="20"/>
          <w:lang w:val="en-GB"/>
        </w:rPr>
        <w:t xml:space="preserve">, but </w:t>
      </w:r>
      <w:r>
        <w:rPr>
          <w:rFonts w:ascii="Times New Roman" w:eastAsia="SimSun" w:hAnsi="Times New Roman"/>
          <w:szCs w:val="20"/>
          <w:lang w:val="en-GB"/>
        </w:rPr>
        <w:t>the terminals</w:t>
      </w:r>
      <w:r w:rsidR="003D3FC0" w:rsidRPr="005F1598">
        <w:rPr>
          <w:rFonts w:ascii="Times New Roman" w:eastAsia="SimSun" w:hAnsi="Times New Roman"/>
          <w:szCs w:val="20"/>
          <w:lang w:val="en-GB"/>
        </w:rPr>
        <w:t xml:space="preserve"> </w:t>
      </w:r>
      <w:r>
        <w:rPr>
          <w:rFonts w:ascii="Times New Roman" w:eastAsia="SimSun" w:hAnsi="Times New Roman"/>
          <w:szCs w:val="20"/>
          <w:lang w:val="en-GB"/>
        </w:rPr>
        <w:t>w</w:t>
      </w:r>
      <w:r w:rsidR="003D3FC0" w:rsidRPr="005F1598">
        <w:rPr>
          <w:rFonts w:ascii="Times New Roman" w:eastAsia="SimSun" w:hAnsi="Times New Roman"/>
          <w:szCs w:val="20"/>
          <w:lang w:val="en-GB"/>
        </w:rPr>
        <w:t xml:space="preserve">ould </w:t>
      </w:r>
      <w:r>
        <w:rPr>
          <w:rFonts w:ascii="Times New Roman" w:eastAsia="SimSun" w:hAnsi="Times New Roman"/>
          <w:szCs w:val="20"/>
          <w:lang w:val="en-GB"/>
        </w:rPr>
        <w:t>mainly use analog beam</w:t>
      </w:r>
      <w:r w:rsidR="003D3FC0" w:rsidRPr="005F1598">
        <w:rPr>
          <w:rFonts w:ascii="Times New Roman" w:eastAsia="SimSun" w:hAnsi="Times New Roman"/>
          <w:szCs w:val="20"/>
          <w:lang w:val="en-GB"/>
        </w:rPr>
        <w:t xml:space="preserve">forming due to </w:t>
      </w:r>
      <w:r w:rsidR="00490F4D">
        <w:rPr>
          <w:rFonts w:ascii="Times New Roman" w:eastAsia="SimSun" w:hAnsi="Times New Roman"/>
          <w:szCs w:val="20"/>
          <w:lang w:val="en-GB"/>
        </w:rPr>
        <w:t xml:space="preserve">the </w:t>
      </w:r>
      <w:r w:rsidR="00AB610E" w:rsidRPr="005F1598">
        <w:rPr>
          <w:rFonts w:ascii="Times New Roman" w:eastAsia="SimSun" w:hAnsi="Times New Roman"/>
          <w:szCs w:val="20"/>
          <w:lang w:val="en-GB"/>
        </w:rPr>
        <w:t>limited number digital chains.</w:t>
      </w:r>
      <w:r>
        <w:rPr>
          <w:rFonts w:ascii="Times New Roman" w:eastAsia="SimSun" w:hAnsi="Times New Roman"/>
          <w:szCs w:val="20"/>
          <w:lang w:val="en-GB"/>
        </w:rPr>
        <w:t xml:space="preserve"> Note also that, i</w:t>
      </w:r>
      <w:r w:rsidRPr="005F1598">
        <w:rPr>
          <w:rFonts w:ascii="Times New Roman" w:eastAsia="SimSun" w:hAnsi="Times New Roman"/>
          <w:szCs w:val="20"/>
          <w:lang w:val="en-GB"/>
        </w:rPr>
        <w:t>n mmWave frequencies</w:t>
      </w:r>
      <w:r>
        <w:rPr>
          <w:rFonts w:ascii="Times New Roman" w:eastAsia="SimSun" w:hAnsi="Times New Roman"/>
          <w:szCs w:val="20"/>
          <w:lang w:val="en-GB"/>
        </w:rPr>
        <w:t>, the channel</w:t>
      </w:r>
      <w:r w:rsidRPr="005F1598">
        <w:rPr>
          <w:rFonts w:ascii="Times New Roman" w:eastAsia="SimSun" w:hAnsi="Times New Roman"/>
          <w:szCs w:val="20"/>
          <w:lang w:val="en-GB"/>
        </w:rPr>
        <w:t xml:space="preserve"> is hardened due to large a</w:t>
      </w:r>
      <w:r w:rsidR="00780D3B">
        <w:rPr>
          <w:rFonts w:ascii="Times New Roman" w:eastAsia="SimSun" w:hAnsi="Times New Roman"/>
          <w:szCs w:val="20"/>
          <w:lang w:val="en-GB"/>
        </w:rPr>
        <w:t xml:space="preserve">ntenna array, making </w:t>
      </w:r>
      <w:r w:rsidR="000E5C8C">
        <w:rPr>
          <w:rFonts w:ascii="Times New Roman" w:eastAsia="SimSun" w:hAnsi="Times New Roman"/>
          <w:szCs w:val="20"/>
          <w:lang w:val="en-GB"/>
        </w:rPr>
        <w:t xml:space="preserve">the </w:t>
      </w:r>
      <w:r w:rsidR="00780D3B">
        <w:rPr>
          <w:rFonts w:ascii="Times New Roman" w:eastAsia="SimSun" w:hAnsi="Times New Roman"/>
          <w:szCs w:val="20"/>
          <w:lang w:val="en-GB"/>
        </w:rPr>
        <w:t>difference</w:t>
      </w:r>
      <w:r w:rsidRPr="005F1598">
        <w:rPr>
          <w:rFonts w:ascii="Times New Roman" w:eastAsia="SimSun" w:hAnsi="Times New Roman"/>
          <w:szCs w:val="20"/>
          <w:lang w:val="en-GB"/>
        </w:rPr>
        <w:t xml:space="preserve"> between analog and digital beam forming smaller.</w:t>
      </w:r>
    </w:p>
    <w:p w14:paraId="7750CF17" w14:textId="48D97FA2" w:rsidR="00171F55" w:rsidRPr="005F1598" w:rsidRDefault="005F1598" w:rsidP="005F1598">
      <w:pPr>
        <w:pStyle w:val="ListParagraph"/>
        <w:numPr>
          <w:ilvl w:val="0"/>
          <w:numId w:val="37"/>
        </w:numPr>
        <w:jc w:val="both"/>
        <w:rPr>
          <w:rFonts w:ascii="Times New Roman" w:eastAsia="SimSun" w:hAnsi="Times New Roman"/>
          <w:szCs w:val="20"/>
          <w:lang w:val="en-GB"/>
        </w:rPr>
      </w:pPr>
      <w:r>
        <w:rPr>
          <w:rFonts w:ascii="Times New Roman" w:eastAsia="SimSun" w:hAnsi="Times New Roman"/>
          <w:szCs w:val="20"/>
          <w:lang w:val="en-GB"/>
        </w:rPr>
        <w:t>T</w:t>
      </w:r>
      <w:r w:rsidR="00780D3B" w:rsidRPr="005F1598">
        <w:rPr>
          <w:rFonts w:ascii="Times New Roman" w:eastAsia="SimSun" w:hAnsi="Times New Roman"/>
          <w:szCs w:val="20"/>
          <w:lang w:val="en-GB"/>
        </w:rPr>
        <w:t>he frequency selectivity of the</w:t>
      </w:r>
      <w:r w:rsidR="00FB3A2F">
        <w:rPr>
          <w:rFonts w:ascii="Times New Roman" w:eastAsia="SimSun" w:hAnsi="Times New Roman"/>
          <w:szCs w:val="20"/>
          <w:lang w:val="en-GB"/>
        </w:rPr>
        <w:t xml:space="preserve"> mmWave</w:t>
      </w:r>
      <w:r w:rsidR="00780D3B" w:rsidRPr="005F1598">
        <w:rPr>
          <w:rFonts w:ascii="Times New Roman" w:eastAsia="SimSun" w:hAnsi="Times New Roman"/>
          <w:szCs w:val="20"/>
          <w:lang w:val="en-GB"/>
        </w:rPr>
        <w:t xml:space="preserve"> channels is significantly smaller</w:t>
      </w:r>
      <w:r>
        <w:rPr>
          <w:rFonts w:ascii="Times New Roman" w:eastAsia="SimSun" w:hAnsi="Times New Roman"/>
          <w:szCs w:val="20"/>
          <w:lang w:val="en-GB"/>
        </w:rPr>
        <w:t xml:space="preserve"> than </w:t>
      </w:r>
      <w:r w:rsidR="00A032A2">
        <w:rPr>
          <w:rFonts w:ascii="Times New Roman" w:eastAsia="SimSun" w:hAnsi="Times New Roman"/>
          <w:szCs w:val="20"/>
          <w:lang w:val="en-GB"/>
        </w:rPr>
        <w:t xml:space="preserve">that of </w:t>
      </w:r>
      <w:r>
        <w:rPr>
          <w:rFonts w:ascii="Times New Roman" w:eastAsia="SimSun" w:hAnsi="Times New Roman"/>
          <w:szCs w:val="20"/>
          <w:lang w:val="en-GB"/>
        </w:rPr>
        <w:t>the sub-6 GHz use cases</w:t>
      </w:r>
      <w:r w:rsidR="00780D3B" w:rsidRPr="005F1598">
        <w:rPr>
          <w:rFonts w:ascii="Times New Roman" w:eastAsia="SimSun" w:hAnsi="Times New Roman"/>
          <w:szCs w:val="20"/>
          <w:lang w:val="en-GB"/>
        </w:rPr>
        <w:t>, and thus, frequen</w:t>
      </w:r>
      <w:r>
        <w:rPr>
          <w:rFonts w:ascii="Times New Roman" w:eastAsia="SimSun" w:hAnsi="Times New Roman"/>
          <w:szCs w:val="20"/>
          <w:lang w:val="en-GB"/>
        </w:rPr>
        <w:t>cy selective precoding on the uplink</w:t>
      </w:r>
      <w:r w:rsidR="00780D3B" w:rsidRPr="005F1598">
        <w:rPr>
          <w:rFonts w:ascii="Times New Roman" w:eastAsia="SimSun" w:hAnsi="Times New Roman"/>
          <w:szCs w:val="20"/>
          <w:lang w:val="en-GB"/>
        </w:rPr>
        <w:t xml:space="preserve"> will provide even lower inc</w:t>
      </w:r>
      <w:r>
        <w:rPr>
          <w:rFonts w:ascii="Times New Roman" w:eastAsia="SimSun" w:hAnsi="Times New Roman"/>
          <w:szCs w:val="20"/>
          <w:lang w:val="en-GB"/>
        </w:rPr>
        <w:t>remental gains over a flat per-a</w:t>
      </w:r>
      <w:r w:rsidR="00780D3B" w:rsidRPr="005F1598">
        <w:rPr>
          <w:rFonts w:ascii="Times New Roman" w:eastAsia="SimSun" w:hAnsi="Times New Roman"/>
          <w:szCs w:val="20"/>
          <w:lang w:val="en-GB"/>
        </w:rPr>
        <w:t>llocation beamforming</w:t>
      </w:r>
      <w:r>
        <w:rPr>
          <w:rFonts w:ascii="Times New Roman" w:eastAsia="SimSun" w:hAnsi="Times New Roman"/>
          <w:szCs w:val="20"/>
          <w:lang w:val="en-GB"/>
        </w:rPr>
        <w:t>.</w:t>
      </w:r>
    </w:p>
    <w:p w14:paraId="20193C21" w14:textId="304B6DFD" w:rsidR="005F1598" w:rsidRDefault="000B1CDB" w:rsidP="005F1598">
      <w:pPr>
        <w:pStyle w:val="Heading2"/>
      </w:pPr>
      <w:r>
        <w:t>Simulation Parameters</w:t>
      </w:r>
    </w:p>
    <w:p w14:paraId="4CB26EA8" w14:textId="02048AA2" w:rsidR="005F1598" w:rsidRDefault="005F1598" w:rsidP="005F1598">
      <w:pPr>
        <w:jc w:val="both"/>
        <w:rPr>
          <w:lang w:val="en-GB"/>
        </w:rPr>
      </w:pPr>
      <w:r>
        <w:rPr>
          <w:lang w:val="en-GB"/>
        </w:rPr>
        <w:t>Based on the above considerations, we demonstrate through a link-level simulation scenario that a high frequency selective closed-loop non-code</w:t>
      </w:r>
      <w:r w:rsidR="002A4FDA">
        <w:rPr>
          <w:lang w:val="en-GB"/>
        </w:rPr>
        <w:t>book-based precoding, such as a</w:t>
      </w:r>
      <w:r>
        <w:rPr>
          <w:lang w:val="en-GB"/>
        </w:rPr>
        <w:t xml:space="preserve"> svd-b</w:t>
      </w:r>
      <w:r w:rsidR="002A4FDA">
        <w:rPr>
          <w:lang w:val="en-GB"/>
        </w:rPr>
        <w:t>ased per-RB beamforming design,</w:t>
      </w:r>
      <w:r>
        <w:rPr>
          <w:lang w:val="en-GB"/>
        </w:rPr>
        <w:t xml:space="preserve"> will provide only </w:t>
      </w:r>
      <w:r w:rsidR="00DA0357">
        <w:rPr>
          <w:lang w:val="en-GB"/>
        </w:rPr>
        <w:t>small</w:t>
      </w:r>
      <w:r>
        <w:rPr>
          <w:lang w:val="en-GB"/>
        </w:rPr>
        <w:t xml:space="preserve"> incremental gains compared to a per-allocation beamforming design which could be employed if t</w:t>
      </w:r>
      <w:r w:rsidR="00506364">
        <w:rPr>
          <w:lang w:val="en-GB"/>
        </w:rPr>
        <w:t>he UE transmits with DFT-S-OFDM without a PAPR penalty.</w:t>
      </w:r>
      <w:r>
        <w:rPr>
          <w:lang w:val="en-GB"/>
        </w:rPr>
        <w:t xml:space="preserve"> </w:t>
      </w:r>
    </w:p>
    <w:p w14:paraId="750CC2DA" w14:textId="5E71EDBD" w:rsidR="005F1598" w:rsidRPr="005F1598" w:rsidRDefault="005F1598" w:rsidP="005F1598">
      <w:pPr>
        <w:jc w:val="both"/>
        <w:rPr>
          <w:lang w:val="en-GB"/>
        </w:rPr>
      </w:pPr>
      <w:r>
        <w:rPr>
          <w:lang w:val="en-GB"/>
        </w:rPr>
        <w:t xml:space="preserve">Table 1 summarizes the main simulation parameters. In short, the UE is assumed to have </w:t>
      </w:r>
      <w:r w:rsidR="00D15EDA">
        <w:rPr>
          <w:lang w:val="en-GB"/>
        </w:rPr>
        <w:t xml:space="preserve">genie or realistic </w:t>
      </w:r>
      <w:r>
        <w:rPr>
          <w:lang w:val="en-GB"/>
        </w:rPr>
        <w:t>knowledge of the uplink channel, and applies a non-codebook svd-based beamforming or a per-allocation svd-based beamforming where the allocation is 6 or 10 resource blocks (1.08 MHz and 1.8 MHz respectively). We compare the beamforming gains of each scheme with respect to a ran</w:t>
      </w:r>
      <w:r w:rsidR="00A57BB3">
        <w:rPr>
          <w:lang w:val="en-GB"/>
        </w:rPr>
        <w:t>dom open loop precoding design in a TDL-C 100 nsec and 300 nsec channel.</w:t>
      </w:r>
    </w:p>
    <w:tbl>
      <w:tblPr>
        <w:tblW w:w="10160" w:type="dxa"/>
        <w:jc w:val="center"/>
        <w:tblCellMar>
          <w:left w:w="0" w:type="dxa"/>
          <w:right w:w="0" w:type="dxa"/>
        </w:tblCellMar>
        <w:tblLook w:val="0420" w:firstRow="1" w:lastRow="0" w:firstColumn="0" w:lastColumn="0" w:noHBand="0" w:noVBand="1"/>
      </w:tblPr>
      <w:tblGrid>
        <w:gridCol w:w="2610"/>
        <w:gridCol w:w="7550"/>
      </w:tblGrid>
      <w:tr w:rsidR="000B1CDB" w:rsidRPr="000B1CDB" w14:paraId="43B39B01" w14:textId="77777777" w:rsidTr="000B1CDB">
        <w:trPr>
          <w:trHeight w:val="23"/>
          <w:jc w:val="center"/>
        </w:trPr>
        <w:tc>
          <w:tcPr>
            <w:tcW w:w="261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2BB1BB97" w14:textId="77777777" w:rsidR="000B1CDB" w:rsidRPr="000B1CDB" w:rsidRDefault="000B1CDB" w:rsidP="000B1CDB">
            <w:pPr>
              <w:spacing w:after="0"/>
              <w:jc w:val="center"/>
              <w:rPr>
                <w:sz w:val="22"/>
              </w:rPr>
            </w:pPr>
            <w:r w:rsidRPr="000B1CDB">
              <w:rPr>
                <w:b/>
                <w:bCs/>
                <w:sz w:val="22"/>
              </w:rPr>
              <w:t>Parameter</w:t>
            </w:r>
          </w:p>
        </w:tc>
        <w:tc>
          <w:tcPr>
            <w:tcW w:w="75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5C765BFB" w14:textId="77777777" w:rsidR="000B1CDB" w:rsidRPr="000B1CDB" w:rsidRDefault="000B1CDB" w:rsidP="000B1CDB">
            <w:pPr>
              <w:spacing w:after="0"/>
              <w:jc w:val="center"/>
              <w:rPr>
                <w:sz w:val="22"/>
              </w:rPr>
            </w:pPr>
            <w:r w:rsidRPr="000B1CDB">
              <w:rPr>
                <w:b/>
                <w:bCs/>
                <w:sz w:val="22"/>
              </w:rPr>
              <w:t>Value</w:t>
            </w:r>
          </w:p>
        </w:tc>
      </w:tr>
      <w:tr w:rsidR="000B1CDB" w:rsidRPr="000B1CDB" w14:paraId="43CD427E" w14:textId="77777777" w:rsidTr="000B1CDB">
        <w:trPr>
          <w:trHeight w:val="24"/>
          <w:jc w:val="center"/>
        </w:trPr>
        <w:tc>
          <w:tcPr>
            <w:tcW w:w="261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C4E41A4" w14:textId="77777777" w:rsidR="000B1CDB" w:rsidRPr="000B1CDB" w:rsidRDefault="000B1CDB" w:rsidP="000B1CDB">
            <w:pPr>
              <w:spacing w:after="0"/>
              <w:jc w:val="center"/>
              <w:rPr>
                <w:b/>
                <w:sz w:val="22"/>
              </w:rPr>
            </w:pPr>
            <w:r w:rsidRPr="000B1CDB">
              <w:rPr>
                <w:b/>
                <w:sz w:val="22"/>
              </w:rPr>
              <w:t>Subcarrier Tone spacing</w:t>
            </w:r>
          </w:p>
        </w:tc>
        <w:tc>
          <w:tcPr>
            <w:tcW w:w="755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13906F8" w14:textId="77777777" w:rsidR="000B1CDB" w:rsidRPr="000B1CDB" w:rsidRDefault="000B1CDB" w:rsidP="000B1CDB">
            <w:pPr>
              <w:spacing w:after="0"/>
              <w:jc w:val="center"/>
              <w:rPr>
                <w:sz w:val="22"/>
              </w:rPr>
            </w:pPr>
            <w:r w:rsidRPr="000B1CDB">
              <w:rPr>
                <w:sz w:val="22"/>
              </w:rPr>
              <w:t>15 KHz</w:t>
            </w:r>
          </w:p>
        </w:tc>
      </w:tr>
      <w:tr w:rsidR="000B1CDB" w:rsidRPr="000B1CDB" w14:paraId="2D102A15" w14:textId="77777777" w:rsidTr="000B1CDB">
        <w:trPr>
          <w:trHeight w:val="312"/>
          <w:jc w:val="center"/>
        </w:trPr>
        <w:tc>
          <w:tcPr>
            <w:tcW w:w="261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47CB2EB" w14:textId="77777777" w:rsidR="000B1CDB" w:rsidRPr="000B1CDB" w:rsidRDefault="000B1CDB" w:rsidP="000B1CDB">
            <w:pPr>
              <w:spacing w:after="0"/>
              <w:jc w:val="center"/>
              <w:rPr>
                <w:b/>
                <w:sz w:val="22"/>
              </w:rPr>
            </w:pPr>
            <w:r w:rsidRPr="000B1CDB">
              <w:rPr>
                <w:b/>
                <w:sz w:val="22"/>
              </w:rPr>
              <w:t>Assigned Bandwidth</w:t>
            </w:r>
          </w:p>
        </w:tc>
        <w:tc>
          <w:tcPr>
            <w:tcW w:w="75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EE89E5D" w14:textId="48D72550" w:rsidR="000B1CDB" w:rsidRPr="000B1CDB" w:rsidRDefault="000B1CDB" w:rsidP="000B1CDB">
            <w:pPr>
              <w:spacing w:after="0"/>
              <w:jc w:val="center"/>
              <w:rPr>
                <w:sz w:val="22"/>
              </w:rPr>
            </w:pPr>
            <w:r w:rsidRPr="000B1CDB">
              <w:rPr>
                <w:sz w:val="22"/>
              </w:rPr>
              <w:t>6 or 10 Resource Blocks (</w:t>
            </w:r>
            <w:r>
              <w:rPr>
                <w:sz w:val="22"/>
              </w:rPr>
              <w:t>180 KHz each RB</w:t>
            </w:r>
            <w:r w:rsidRPr="000B1CDB">
              <w:rPr>
                <w:sz w:val="22"/>
              </w:rPr>
              <w:t>)</w:t>
            </w:r>
          </w:p>
        </w:tc>
      </w:tr>
      <w:tr w:rsidR="000B1CDB" w:rsidRPr="000B1CDB" w14:paraId="2983FAB9" w14:textId="77777777" w:rsidTr="000B1CDB">
        <w:trPr>
          <w:trHeight w:val="23"/>
          <w:jc w:val="center"/>
        </w:trPr>
        <w:tc>
          <w:tcPr>
            <w:tcW w:w="261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02B285E" w14:textId="77777777" w:rsidR="000B1CDB" w:rsidRPr="000B1CDB" w:rsidRDefault="000B1CDB" w:rsidP="000B1CDB">
            <w:pPr>
              <w:spacing w:after="0"/>
              <w:jc w:val="center"/>
              <w:rPr>
                <w:b/>
                <w:sz w:val="22"/>
              </w:rPr>
            </w:pPr>
            <w:r w:rsidRPr="000B1CDB">
              <w:rPr>
                <w:b/>
                <w:sz w:val="22"/>
              </w:rPr>
              <w:t># Antennas at the UE</w:t>
            </w:r>
          </w:p>
        </w:tc>
        <w:tc>
          <w:tcPr>
            <w:tcW w:w="75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2B87596" w14:textId="7298EF7F" w:rsidR="000B1CDB" w:rsidRPr="000B1CDB" w:rsidRDefault="000B1CDB" w:rsidP="000B1CDB">
            <w:pPr>
              <w:spacing w:after="0"/>
              <w:jc w:val="center"/>
              <w:rPr>
                <w:sz w:val="22"/>
              </w:rPr>
            </w:pPr>
            <w:r>
              <w:rPr>
                <w:sz w:val="22"/>
              </w:rPr>
              <w:t>2 Tx a</w:t>
            </w:r>
            <w:r w:rsidRPr="000B1CDB">
              <w:rPr>
                <w:sz w:val="22"/>
              </w:rPr>
              <w:t>ntennas with two PA</w:t>
            </w:r>
            <w:r>
              <w:rPr>
                <w:sz w:val="22"/>
              </w:rPr>
              <w:t>s</w:t>
            </w:r>
          </w:p>
        </w:tc>
      </w:tr>
      <w:tr w:rsidR="000B1CDB" w:rsidRPr="000B1CDB" w14:paraId="3FC6F739" w14:textId="77777777" w:rsidTr="000B1CDB">
        <w:trPr>
          <w:trHeight w:val="23"/>
          <w:jc w:val="center"/>
        </w:trPr>
        <w:tc>
          <w:tcPr>
            <w:tcW w:w="261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7364F2B" w14:textId="77777777" w:rsidR="000B1CDB" w:rsidRPr="000B1CDB" w:rsidRDefault="000B1CDB" w:rsidP="000B1CDB">
            <w:pPr>
              <w:spacing w:after="0"/>
              <w:jc w:val="center"/>
              <w:rPr>
                <w:b/>
                <w:sz w:val="22"/>
              </w:rPr>
            </w:pPr>
            <w:r w:rsidRPr="000B1CDB">
              <w:rPr>
                <w:b/>
                <w:sz w:val="22"/>
              </w:rPr>
              <w:t># antennas at the BTS</w:t>
            </w:r>
          </w:p>
        </w:tc>
        <w:tc>
          <w:tcPr>
            <w:tcW w:w="75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987F4CC" w14:textId="3BAC8976" w:rsidR="000B1CDB" w:rsidRPr="000B1CDB" w:rsidRDefault="000B1CDB" w:rsidP="000B1CDB">
            <w:pPr>
              <w:spacing w:after="0"/>
              <w:jc w:val="center"/>
              <w:rPr>
                <w:sz w:val="22"/>
              </w:rPr>
            </w:pPr>
            <w:r>
              <w:rPr>
                <w:sz w:val="22"/>
              </w:rPr>
              <w:t xml:space="preserve">2, 4, </w:t>
            </w:r>
            <w:r w:rsidRPr="000B1CDB">
              <w:rPr>
                <w:sz w:val="22"/>
              </w:rPr>
              <w:t xml:space="preserve">8, 10, 12, 16 </w:t>
            </w:r>
            <w:r>
              <w:rPr>
                <w:sz w:val="22"/>
              </w:rPr>
              <w:t xml:space="preserve"> Rx a</w:t>
            </w:r>
            <w:r w:rsidRPr="000B1CDB">
              <w:rPr>
                <w:sz w:val="22"/>
              </w:rPr>
              <w:t>ntennas</w:t>
            </w:r>
          </w:p>
        </w:tc>
      </w:tr>
      <w:tr w:rsidR="000B1CDB" w:rsidRPr="000B1CDB" w14:paraId="6270006E" w14:textId="77777777" w:rsidTr="000B1CDB">
        <w:trPr>
          <w:trHeight w:val="23"/>
          <w:jc w:val="center"/>
        </w:trPr>
        <w:tc>
          <w:tcPr>
            <w:tcW w:w="261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F0719A0" w14:textId="0E48C40B" w:rsidR="000B1CDB" w:rsidRPr="000B1CDB" w:rsidRDefault="000B1CDB" w:rsidP="000B1CDB">
            <w:pPr>
              <w:spacing w:after="0"/>
              <w:jc w:val="center"/>
              <w:rPr>
                <w:b/>
                <w:sz w:val="22"/>
              </w:rPr>
            </w:pPr>
            <w:r w:rsidRPr="000B1CDB">
              <w:rPr>
                <w:b/>
                <w:sz w:val="22"/>
              </w:rPr>
              <w:t>Per-RB CL BF method</w:t>
            </w:r>
          </w:p>
        </w:tc>
        <w:tc>
          <w:tcPr>
            <w:tcW w:w="75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E6EF9BF" w14:textId="1603C870" w:rsidR="000B1CDB" w:rsidRPr="000B1CDB" w:rsidRDefault="000B1CDB" w:rsidP="000B1CDB">
            <w:pPr>
              <w:spacing w:after="0"/>
              <w:jc w:val="center"/>
              <w:rPr>
                <w:sz w:val="22"/>
              </w:rPr>
            </w:pPr>
            <w:r w:rsidRPr="000B1CDB">
              <w:rPr>
                <w:sz w:val="22"/>
              </w:rPr>
              <w:t>Beamforming using the average main singular vector at each RB. Frequency selective beamforming</w:t>
            </w:r>
          </w:p>
        </w:tc>
      </w:tr>
      <w:tr w:rsidR="000B1CDB" w:rsidRPr="000B1CDB" w14:paraId="67B85401" w14:textId="77777777" w:rsidTr="000B1CDB">
        <w:trPr>
          <w:trHeight w:val="23"/>
          <w:jc w:val="center"/>
        </w:trPr>
        <w:tc>
          <w:tcPr>
            <w:tcW w:w="261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DCD7950" w14:textId="1895A048" w:rsidR="000B1CDB" w:rsidRPr="000B1CDB" w:rsidRDefault="000B1CDB" w:rsidP="000B1CDB">
            <w:pPr>
              <w:spacing w:after="0"/>
              <w:jc w:val="center"/>
              <w:rPr>
                <w:b/>
                <w:sz w:val="22"/>
              </w:rPr>
            </w:pPr>
            <w:r w:rsidRPr="000B1CDB">
              <w:rPr>
                <w:b/>
                <w:sz w:val="22"/>
              </w:rPr>
              <w:t>Per-Allocation CL BF method</w:t>
            </w:r>
          </w:p>
        </w:tc>
        <w:tc>
          <w:tcPr>
            <w:tcW w:w="75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EB3EDD8" w14:textId="126E6F47" w:rsidR="000B1CDB" w:rsidRPr="000B1CDB" w:rsidRDefault="000B1CDB" w:rsidP="000B1CDB">
            <w:pPr>
              <w:spacing w:after="0"/>
              <w:jc w:val="center"/>
              <w:rPr>
                <w:sz w:val="22"/>
              </w:rPr>
            </w:pPr>
            <w:r>
              <w:rPr>
                <w:sz w:val="22"/>
              </w:rPr>
              <w:t xml:space="preserve">Beamforming using the </w:t>
            </w:r>
            <w:r w:rsidRPr="000B1CDB">
              <w:rPr>
                <w:sz w:val="22"/>
              </w:rPr>
              <w:t xml:space="preserve">average singular vector of all the </w:t>
            </w:r>
            <w:r>
              <w:rPr>
                <w:sz w:val="22"/>
              </w:rPr>
              <w:t>subcarriers</w:t>
            </w:r>
            <w:r w:rsidRPr="000B1CDB">
              <w:rPr>
                <w:sz w:val="22"/>
              </w:rPr>
              <w:t xml:space="preserve"> in the allocation. </w:t>
            </w:r>
            <w:r>
              <w:rPr>
                <w:sz w:val="22"/>
              </w:rPr>
              <w:t>(</w:t>
            </w:r>
            <w:r w:rsidRPr="000B1CDB">
              <w:rPr>
                <w:sz w:val="22"/>
              </w:rPr>
              <w:t>Flat beamforming on the allocation</w:t>
            </w:r>
            <w:r>
              <w:rPr>
                <w:sz w:val="22"/>
              </w:rPr>
              <w:t>)</w:t>
            </w:r>
          </w:p>
        </w:tc>
      </w:tr>
      <w:tr w:rsidR="000B1CDB" w:rsidRPr="000B1CDB" w14:paraId="0B24D172" w14:textId="77777777" w:rsidTr="000B1CDB">
        <w:trPr>
          <w:trHeight w:val="23"/>
          <w:jc w:val="center"/>
        </w:trPr>
        <w:tc>
          <w:tcPr>
            <w:tcW w:w="261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57B90B8" w14:textId="77777777" w:rsidR="000B1CDB" w:rsidRPr="000B1CDB" w:rsidRDefault="000B1CDB" w:rsidP="000B1CDB">
            <w:pPr>
              <w:spacing w:after="0"/>
              <w:jc w:val="center"/>
              <w:rPr>
                <w:b/>
                <w:sz w:val="22"/>
              </w:rPr>
            </w:pPr>
            <w:r w:rsidRPr="000B1CDB">
              <w:rPr>
                <w:b/>
                <w:sz w:val="22"/>
              </w:rPr>
              <w:lastRenderedPageBreak/>
              <w:t>Sampling Frequency</w:t>
            </w:r>
          </w:p>
        </w:tc>
        <w:tc>
          <w:tcPr>
            <w:tcW w:w="75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06B9AF8" w14:textId="77777777" w:rsidR="000B1CDB" w:rsidRPr="000B1CDB" w:rsidRDefault="000B1CDB" w:rsidP="000B1CDB">
            <w:pPr>
              <w:spacing w:after="0"/>
              <w:jc w:val="center"/>
              <w:rPr>
                <w:sz w:val="22"/>
              </w:rPr>
            </w:pPr>
            <w:r w:rsidRPr="000B1CDB">
              <w:rPr>
                <w:sz w:val="22"/>
              </w:rPr>
              <w:t>61.44 MHz</w:t>
            </w:r>
          </w:p>
        </w:tc>
      </w:tr>
      <w:tr w:rsidR="000B1CDB" w:rsidRPr="000B1CDB" w14:paraId="0FD92E86" w14:textId="77777777" w:rsidTr="000B1CDB">
        <w:trPr>
          <w:trHeight w:val="23"/>
          <w:jc w:val="center"/>
        </w:trPr>
        <w:tc>
          <w:tcPr>
            <w:tcW w:w="261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E83C27B" w14:textId="26B37F77" w:rsidR="000B1CDB" w:rsidRPr="000B1CDB" w:rsidRDefault="000B1CDB" w:rsidP="000B1CDB">
            <w:pPr>
              <w:spacing w:after="0"/>
              <w:jc w:val="center"/>
              <w:rPr>
                <w:b/>
                <w:sz w:val="22"/>
              </w:rPr>
            </w:pPr>
            <w:r w:rsidRPr="000B1CDB">
              <w:rPr>
                <w:b/>
                <w:sz w:val="22"/>
              </w:rPr>
              <w:t>Channel Estimation</w:t>
            </w:r>
          </w:p>
        </w:tc>
        <w:tc>
          <w:tcPr>
            <w:tcW w:w="75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FC8A7C6" w14:textId="7ACF14E4" w:rsidR="000B1CDB" w:rsidRPr="000B1CDB" w:rsidRDefault="000B1CDB" w:rsidP="000B1CDB">
            <w:pPr>
              <w:spacing w:after="0"/>
              <w:jc w:val="center"/>
              <w:rPr>
                <w:sz w:val="22"/>
              </w:rPr>
            </w:pPr>
            <w:r>
              <w:rPr>
                <w:sz w:val="22"/>
              </w:rPr>
              <w:t xml:space="preserve">Channel perturbation with average MSE of 0 dB, 10 dB, 20 dB and 50 dB </w:t>
            </w:r>
            <w:r w:rsidR="00640D0D">
              <w:rPr>
                <w:sz w:val="22"/>
              </w:rPr>
              <w:t>(genie)</w:t>
            </w:r>
          </w:p>
        </w:tc>
      </w:tr>
    </w:tbl>
    <w:p w14:paraId="3763C62A" w14:textId="77777777" w:rsidR="000B1CDB" w:rsidRPr="00AE302C" w:rsidRDefault="000B1CDB" w:rsidP="00507538">
      <w:pPr>
        <w:jc w:val="both"/>
        <w:rPr>
          <w:sz w:val="22"/>
          <w:lang w:val="en-GB"/>
        </w:rPr>
      </w:pPr>
    </w:p>
    <w:p w14:paraId="6C989642" w14:textId="3064F408" w:rsidR="00165AC4" w:rsidRDefault="007C339F" w:rsidP="007C339F">
      <w:pPr>
        <w:pStyle w:val="Heading3"/>
      </w:pPr>
      <w:r>
        <w:t>Beamforming gain TDL-C channel with 300 nsec r.m.s. delay spread</w:t>
      </w:r>
    </w:p>
    <w:p w14:paraId="311AC647" w14:textId="69858074" w:rsidR="00405763" w:rsidRDefault="00405763" w:rsidP="00405763">
      <w:pPr>
        <w:jc w:val="both"/>
        <w:rPr>
          <w:sz w:val="22"/>
          <w:szCs w:val="22"/>
        </w:rPr>
      </w:pPr>
      <w:r>
        <w:rPr>
          <w:noProof/>
        </w:rPr>
        <mc:AlternateContent>
          <mc:Choice Requires="wps">
            <w:drawing>
              <wp:anchor distT="0" distB="0" distL="114300" distR="114300" simplePos="0" relativeHeight="251658243" behindDoc="0" locked="0" layoutInCell="1" allowOverlap="1" wp14:anchorId="1E318541" wp14:editId="5C3E5279">
                <wp:simplePos x="0" y="0"/>
                <wp:positionH relativeFrom="column">
                  <wp:posOffset>-194214</wp:posOffset>
                </wp:positionH>
                <wp:positionV relativeFrom="paragraph">
                  <wp:posOffset>2507878</wp:posOffset>
                </wp:positionV>
                <wp:extent cx="6934835" cy="635"/>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6934835" cy="635"/>
                        </a:xfrm>
                        <a:prstGeom prst="rect">
                          <a:avLst/>
                        </a:prstGeom>
                        <a:solidFill>
                          <a:prstClr val="white"/>
                        </a:solidFill>
                        <a:ln>
                          <a:noFill/>
                        </a:ln>
                        <a:effectLst/>
                      </wps:spPr>
                      <wps:txbx>
                        <w:txbxContent>
                          <w:p w14:paraId="2A91C465" w14:textId="4FBCD6FE" w:rsidR="003B125F" w:rsidRPr="00624C42" w:rsidRDefault="003B125F" w:rsidP="00424D2D">
                            <w:pPr>
                              <w:pStyle w:val="Caption"/>
                              <w:jc w:val="center"/>
                              <w:rPr>
                                <w:noProof/>
                              </w:rPr>
                            </w:pPr>
                            <w:r>
                              <w:t xml:space="preserve">Figure </w:t>
                            </w:r>
                            <w:fldSimple w:instr=" SEQ Figure \* ARABIC ">
                              <w:r>
                                <w:rPr>
                                  <w:noProof/>
                                </w:rPr>
                                <w:t>1</w:t>
                              </w:r>
                            </w:fldSimple>
                            <w:r>
                              <w:t xml:space="preserve"> Beamforming gain with respect to OL precoding of both approaches in a 1.8 MHz allocation (10 RBs) with an channel estimation MSE of 10 dB, 20 dB, 50 dB (genie) as a function of the antennas at the base station</w:t>
                            </w:r>
                            <w:r>
                              <w:rPr>
                                <w:noProof/>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E318541" id="_x0000_t202" coordsize="21600,21600" o:spt="202" path="m,l,21600r21600,l21600,xe">
                <v:stroke joinstyle="miter"/>
                <v:path gradientshapeok="t" o:connecttype="rect"/>
              </v:shapetype>
              <v:shape id="Text Box 4" o:spid="_x0000_s1026" type="#_x0000_t202" style="position:absolute;left:0;text-align:left;margin-left:-15.3pt;margin-top:197.45pt;width:546.05pt;height:.05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Y3OMQIAAGsEAAAOAAAAZHJzL2Uyb0RvYy54bWysVFFv2jAQfp+0/2D5fQRahjpEqBgV0yTU&#10;VoKpz8ZxSCTb550NCfv1OzsJ3bo9TXsx57vzd7nvu2Nx3xrNzgp9DTbnk9GYM2UlFLU95vzbfvPh&#10;jjMfhC2EBqtyflGe3y/fv1s0bq5uoAJdKGQEYv28cTmvQnDzLPOyUkb4EThlKVgCGhHoisesQNEQ&#10;utHZzXg8yxrAwiFI5T15H7ogXyb8slQyPJWlV4HpnNO3hXRiOg/xzJYLMT+icFUt+88Q//AVRtSW&#10;il6hHkQQ7IT1H1CmlggeyjCSYDIoy1qq1AN1Mxm/6WZXCadSL0SOd1ea/P+DlY/nZ2R1kfMpZ1YY&#10;kmiv2sA+Q8umkZ3G+Tkl7RylhZbcpPLg9+SMTbclmvhL7TCKE8+XK7cRTJJz9ul2enf7kTNJsRkZ&#10;hJ29PnXowxcFhkUj50jCJT7FeetDlzqkxEoedF1saq3jJQbWGtlZkMhNVQfVg/+WpW3MtRBfdYCd&#10;R6Up6avEbruuohXaQ9tTcIDiQgwgdBPkndzUVHYrfHgWSCNDTdMahCc6Sg1NzqG3OKsAf/zNH/NJ&#10;SYpy1tAI5tx/PwlUnOmvljSO8zoYOBiHwbAnswZqeEIL5mQy6QEGPZglgnmh7VjFKhQSVlKtnIfB&#10;XIduEWi7pFqtUhJNpRNha3dORuiB3n37ItD14gTS9BGG4RTzNxp1uUkltzoFIjwJGAntWCTh44Um&#10;Oo1Av31xZX69p6zX/4jlTwAAAP//AwBQSwMEFAAGAAgAAAAhACgtX3PiAAAADAEAAA8AAABkcnMv&#10;ZG93bnJldi54bWxMj7FOwzAQhnck3sE6JBbU2iVp1KZxqqqCAZaK0IXNja9xILYj22nD2+NMZby7&#10;T/99f7EddUcu6HxrDYfFnAFBU1vZmobD8fN1tgLigzBSdNYgh1/0sC3v7wqRS3s1H3ipQkNiiPG5&#10;4KBC6HNKfa1QCz+3PZp4O1unRYija6h04hrDdUefGcuoFq2JH5Toca+w/qkGzeGQfh3U03B+ed+l&#10;iXs7Dvvsu6k4f3wYdxsgAcdwg2HSj+pQRqeTHYz0pOMwS1gWUQ7JOl0DmQiWLZZATtNqyYCWBf1f&#10;ovwDAAD//wMAUEsBAi0AFAAGAAgAAAAhALaDOJL+AAAA4QEAABMAAAAAAAAAAAAAAAAAAAAAAFtD&#10;b250ZW50X1R5cGVzXS54bWxQSwECLQAUAAYACAAAACEAOP0h/9YAAACUAQAACwAAAAAAAAAAAAAA&#10;AAAvAQAAX3JlbHMvLnJlbHNQSwECLQAUAAYACAAAACEAudWNzjECAABrBAAADgAAAAAAAAAAAAAA&#10;AAAuAgAAZHJzL2Uyb0RvYy54bWxQSwECLQAUAAYACAAAACEAKC1fc+IAAAAMAQAADwAAAAAAAAAA&#10;AAAAAACLBAAAZHJzL2Rvd25yZXYueG1sUEsFBgAAAAAEAAQA8wAAAJoFAAAAAA==&#10;" stroked="f">
                <v:textbox style="mso-fit-shape-to-text:t" inset="0,0,0,0">
                  <w:txbxContent>
                    <w:p w14:paraId="2A91C465" w14:textId="4FBCD6FE" w:rsidR="003B125F" w:rsidRPr="00624C42" w:rsidRDefault="003B125F" w:rsidP="00424D2D">
                      <w:pPr>
                        <w:pStyle w:val="Caption"/>
                        <w:jc w:val="center"/>
                        <w:rPr>
                          <w:noProof/>
                        </w:rPr>
                      </w:pPr>
                      <w:r>
                        <w:t xml:space="preserve">Figure </w:t>
                      </w:r>
                      <w:fldSimple w:instr=" SEQ Figure \* ARABIC ">
                        <w:r>
                          <w:rPr>
                            <w:noProof/>
                          </w:rPr>
                          <w:t>1</w:t>
                        </w:r>
                      </w:fldSimple>
                      <w:r>
                        <w:t xml:space="preserve"> Beamforming gain with respect to OL precoding of both approaches in a 1.8 MHz allocation (10 RBs) with an channel estimation MSE of 10 dB, 20 dB, 50 dB (genie) as a function of the antennas at the base station</w:t>
                      </w:r>
                      <w:r>
                        <w:rPr>
                          <w:noProof/>
                        </w:rPr>
                        <w:t>.</w:t>
                      </w:r>
                    </w:p>
                  </w:txbxContent>
                </v:textbox>
                <w10:wrap type="square"/>
              </v:shape>
            </w:pict>
          </mc:Fallback>
        </mc:AlternateContent>
      </w:r>
      <w:r w:rsidR="00B54060">
        <w:rPr>
          <w:noProof/>
          <w:sz w:val="22"/>
          <w:szCs w:val="22"/>
        </w:rPr>
        <w:drawing>
          <wp:anchor distT="0" distB="0" distL="114300" distR="114300" simplePos="0" relativeHeight="251658241" behindDoc="0" locked="0" layoutInCell="1" allowOverlap="1" wp14:anchorId="72A20FAA" wp14:editId="56BBB443">
            <wp:simplePos x="0" y="0"/>
            <wp:positionH relativeFrom="margin">
              <wp:align>center</wp:align>
            </wp:positionH>
            <wp:positionV relativeFrom="paragraph">
              <wp:posOffset>782212</wp:posOffset>
            </wp:positionV>
            <wp:extent cx="2277110" cy="1675130"/>
            <wp:effectExtent l="0" t="0" r="8890" b="1270"/>
            <wp:wrapSquare wrapText="bothSides"/>
            <wp:docPr id="2" name="Picture 2" descr="C:\Users\amanolak\Desktop\PentNew\OLLA\pentariLink\wilt_infra\run\test\ULMIMO\PresentTDLC300nsec_10RBs_20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manolak\Desktop\PentNew\OLLA\pentariLink\wilt_infra\run\test\ULMIMO\PresentTDLC300nsec_10RBs_20dB.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77110" cy="16751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54060">
        <w:rPr>
          <w:noProof/>
          <w:sz w:val="22"/>
          <w:szCs w:val="22"/>
        </w:rPr>
        <w:drawing>
          <wp:anchor distT="0" distB="0" distL="114300" distR="114300" simplePos="0" relativeHeight="251658242" behindDoc="0" locked="0" layoutInCell="1" allowOverlap="1" wp14:anchorId="2E24356E" wp14:editId="68B6892D">
            <wp:simplePos x="0" y="0"/>
            <wp:positionH relativeFrom="column">
              <wp:posOffset>4472737</wp:posOffset>
            </wp:positionH>
            <wp:positionV relativeFrom="paragraph">
              <wp:posOffset>764552</wp:posOffset>
            </wp:positionV>
            <wp:extent cx="2251075" cy="1655445"/>
            <wp:effectExtent l="0" t="0" r="0" b="1905"/>
            <wp:wrapSquare wrapText="bothSides"/>
            <wp:docPr id="3" name="Picture 3" descr="C:\Users\amanolak\Desktop\PentNew\OLLA\pentariLink\wilt_infra\run\test\ULMIMO\PresentTDLC300nsec_10RBs_10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anolak\Desktop\PentNew\OLLA\pentariLink\wilt_infra\run\test\ULMIMO\PresentTDLC300nsec_10RBs_10dB.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51075" cy="16554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54060">
        <w:rPr>
          <w:noProof/>
          <w:sz w:val="22"/>
          <w:szCs w:val="22"/>
        </w:rPr>
        <w:drawing>
          <wp:anchor distT="0" distB="0" distL="114300" distR="114300" simplePos="0" relativeHeight="251658240" behindDoc="0" locked="0" layoutInCell="1" allowOverlap="1" wp14:anchorId="467244F9" wp14:editId="7E774179">
            <wp:simplePos x="0" y="0"/>
            <wp:positionH relativeFrom="margin">
              <wp:posOffset>-335975</wp:posOffset>
            </wp:positionH>
            <wp:positionV relativeFrom="paragraph">
              <wp:posOffset>834702</wp:posOffset>
            </wp:positionV>
            <wp:extent cx="2156460" cy="1586230"/>
            <wp:effectExtent l="0" t="0" r="0" b="0"/>
            <wp:wrapSquare wrapText="bothSides"/>
            <wp:docPr id="1" name="Picture 1" descr="C:\Users\amanolak\Desktop\PentNew\OLLA\pentariLink\wilt_infra\run\test\ULMIMO\PresentTDLC300nsec_10RBs_50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anolak\Desktop\PentNew\OLLA\pentariLink\wilt_infra\run\test\ULMIMO\PresentTDLC300nsec_10RBs_50dB.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56460" cy="15862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339F">
        <w:rPr>
          <w:sz w:val="22"/>
          <w:szCs w:val="22"/>
        </w:rPr>
        <w:t xml:space="preserve">This is a </w:t>
      </w:r>
      <w:r w:rsidR="002F0EE9">
        <w:rPr>
          <w:sz w:val="22"/>
          <w:szCs w:val="22"/>
        </w:rPr>
        <w:t xml:space="preserve">simulation </w:t>
      </w:r>
      <w:r w:rsidR="007C339F">
        <w:rPr>
          <w:sz w:val="22"/>
          <w:szCs w:val="22"/>
        </w:rPr>
        <w:t xml:space="preserve">scenario with large frequency selectivity. </w:t>
      </w:r>
      <w:r w:rsidR="00B54060">
        <w:rPr>
          <w:sz w:val="22"/>
          <w:szCs w:val="22"/>
        </w:rPr>
        <w:t>Figure 1</w:t>
      </w:r>
      <w:r w:rsidR="00731D96">
        <w:rPr>
          <w:sz w:val="22"/>
          <w:szCs w:val="22"/>
        </w:rPr>
        <w:t xml:space="preserve"> </w:t>
      </w:r>
      <w:r w:rsidR="007C339F">
        <w:rPr>
          <w:sz w:val="22"/>
          <w:szCs w:val="22"/>
        </w:rPr>
        <w:t>demonstrates the beamforming gain difference with respect</w:t>
      </w:r>
      <w:r w:rsidR="005836E3">
        <w:rPr>
          <w:sz w:val="22"/>
          <w:szCs w:val="22"/>
        </w:rPr>
        <w:t xml:space="preserve"> to</w:t>
      </w:r>
      <w:r w:rsidR="007C339F">
        <w:rPr>
          <w:sz w:val="22"/>
          <w:szCs w:val="22"/>
        </w:rPr>
        <w:t xml:space="preserve"> the open loop precoding for both beamforming methods for an RB</w:t>
      </w:r>
      <w:r w:rsidR="00B54060">
        <w:rPr>
          <w:sz w:val="22"/>
          <w:szCs w:val="22"/>
        </w:rPr>
        <w:t xml:space="preserve"> allocation of 1.8 MHz (10 RBs)</w:t>
      </w:r>
      <w:r w:rsidR="00D7657F">
        <w:rPr>
          <w:sz w:val="22"/>
          <w:szCs w:val="22"/>
        </w:rPr>
        <w:t>. Note that</w:t>
      </w:r>
      <w:r w:rsidR="00B54060">
        <w:rPr>
          <w:sz w:val="22"/>
          <w:szCs w:val="22"/>
        </w:rPr>
        <w:t xml:space="preserve"> </w:t>
      </w:r>
      <w:r w:rsidR="00D7657F">
        <w:rPr>
          <w:sz w:val="22"/>
          <w:szCs w:val="22"/>
        </w:rPr>
        <w:t xml:space="preserve">in these plots the </w:t>
      </w:r>
      <w:r w:rsidR="00B54060">
        <w:rPr>
          <w:sz w:val="22"/>
          <w:szCs w:val="22"/>
        </w:rPr>
        <w:t>MSE of the channel estimate used to design the beamforming vectors is 10, 20 and 50 dB (essentially genie channe</w:t>
      </w:r>
      <w:r w:rsidR="00967B72">
        <w:rPr>
          <w:sz w:val="22"/>
          <w:szCs w:val="22"/>
        </w:rPr>
        <w:t>l knowledge at the transmitter) respectively.</w:t>
      </w:r>
    </w:p>
    <w:p w14:paraId="35E6FB05" w14:textId="750767B5" w:rsidR="00B54060" w:rsidRDefault="00405763" w:rsidP="00B54060">
      <w:pPr>
        <w:jc w:val="both"/>
        <w:rPr>
          <w:sz w:val="22"/>
          <w:szCs w:val="22"/>
        </w:rPr>
      </w:pPr>
      <w:r>
        <w:rPr>
          <w:sz w:val="22"/>
          <w:szCs w:val="22"/>
        </w:rPr>
        <w:t>We observe that the maximum beamforming difference between</w:t>
      </w:r>
      <w:r w:rsidR="00ED3515">
        <w:rPr>
          <w:sz w:val="22"/>
          <w:szCs w:val="22"/>
        </w:rPr>
        <w:t xml:space="preserve"> the two precoding designs is</w:t>
      </w:r>
      <w:r>
        <w:rPr>
          <w:sz w:val="22"/>
          <w:szCs w:val="22"/>
        </w:rPr>
        <w:t xml:space="preserve"> </w:t>
      </w:r>
      <w:r w:rsidR="00DC1FCE">
        <w:rPr>
          <w:sz w:val="22"/>
          <w:szCs w:val="22"/>
        </w:rPr>
        <w:t>always smaller than</w:t>
      </w:r>
      <w:r>
        <w:rPr>
          <w:sz w:val="22"/>
          <w:szCs w:val="22"/>
        </w:rPr>
        <w:t xml:space="preserve"> 0.32 dB</w:t>
      </w:r>
      <w:r w:rsidR="008D308F">
        <w:rPr>
          <w:sz w:val="22"/>
          <w:szCs w:val="22"/>
        </w:rPr>
        <w:t xml:space="preserve"> even in the most optimistic scenarios</w:t>
      </w:r>
      <w:r w:rsidR="00FD3757">
        <w:rPr>
          <w:sz w:val="22"/>
          <w:szCs w:val="22"/>
        </w:rPr>
        <w:t xml:space="preserve"> shown in Figure 1</w:t>
      </w:r>
      <w:r>
        <w:rPr>
          <w:sz w:val="22"/>
          <w:szCs w:val="22"/>
        </w:rPr>
        <w:t xml:space="preserve">. Note also that the low channel estimation quality, which is likely the case when the UE is in the cell-edge, </w:t>
      </w:r>
      <w:r w:rsidR="00BC2427">
        <w:rPr>
          <w:sz w:val="22"/>
          <w:szCs w:val="22"/>
        </w:rPr>
        <w:t>the</w:t>
      </w:r>
      <w:r>
        <w:rPr>
          <w:sz w:val="22"/>
          <w:szCs w:val="22"/>
        </w:rPr>
        <w:t xml:space="preserve"> difference between the two precoding designs</w:t>
      </w:r>
      <w:r w:rsidR="00BC2427">
        <w:rPr>
          <w:sz w:val="22"/>
          <w:szCs w:val="22"/>
        </w:rPr>
        <w:t xml:space="preserve"> is even smaller</w:t>
      </w:r>
      <w:r w:rsidR="00984F42">
        <w:rPr>
          <w:sz w:val="22"/>
          <w:szCs w:val="22"/>
        </w:rPr>
        <w:t xml:space="preserve"> or even zero</w:t>
      </w:r>
      <w:r>
        <w:rPr>
          <w:sz w:val="22"/>
          <w:szCs w:val="22"/>
        </w:rPr>
        <w:t>. Note that if the allocation is smaller, for example 6 RBs (1.08 MHz), then the difference is</w:t>
      </w:r>
      <w:r w:rsidR="004F679D">
        <w:rPr>
          <w:sz w:val="22"/>
          <w:szCs w:val="22"/>
        </w:rPr>
        <w:t xml:space="preserve"> generally</w:t>
      </w:r>
      <w:r>
        <w:rPr>
          <w:sz w:val="22"/>
          <w:szCs w:val="22"/>
        </w:rPr>
        <w:t xml:space="preserve"> even smaller, </w:t>
      </w:r>
      <w:r w:rsidR="007B02B3">
        <w:rPr>
          <w:sz w:val="22"/>
          <w:szCs w:val="22"/>
        </w:rPr>
        <w:t>for example</w:t>
      </w:r>
      <w:r>
        <w:rPr>
          <w:sz w:val="22"/>
          <w:szCs w:val="22"/>
        </w:rPr>
        <w:t xml:space="preserve"> </w:t>
      </w:r>
      <w:r w:rsidR="007B02B3">
        <w:rPr>
          <w:sz w:val="22"/>
          <w:szCs w:val="22"/>
        </w:rPr>
        <w:t>smaller than 0.2</w:t>
      </w:r>
      <w:r>
        <w:rPr>
          <w:sz w:val="22"/>
          <w:szCs w:val="22"/>
        </w:rPr>
        <w:t xml:space="preserve"> dB even for the case of</w:t>
      </w:r>
      <w:r w:rsidR="002720BA">
        <w:rPr>
          <w:sz w:val="22"/>
          <w:szCs w:val="22"/>
        </w:rPr>
        <w:t xml:space="preserve"> relatively</w:t>
      </w:r>
      <w:r>
        <w:rPr>
          <w:sz w:val="22"/>
          <w:szCs w:val="22"/>
        </w:rPr>
        <w:t xml:space="preserve"> high channel estimation quality (MSE of 20 dB).</w:t>
      </w:r>
    </w:p>
    <w:p w14:paraId="57F845DA" w14:textId="1C8C4EF1" w:rsidR="00405763" w:rsidRDefault="0074317A" w:rsidP="00B54060">
      <w:pPr>
        <w:jc w:val="both"/>
        <w:rPr>
          <w:sz w:val="22"/>
          <w:szCs w:val="22"/>
        </w:rPr>
      </w:pPr>
      <w:r>
        <w:rPr>
          <w:noProof/>
          <w:sz w:val="22"/>
          <w:szCs w:val="22"/>
        </w:rPr>
        <w:drawing>
          <wp:anchor distT="0" distB="0" distL="114300" distR="114300" simplePos="0" relativeHeight="251658244" behindDoc="0" locked="0" layoutInCell="1" allowOverlap="1" wp14:anchorId="70082234" wp14:editId="6CCB667F">
            <wp:simplePos x="0" y="0"/>
            <wp:positionH relativeFrom="margin">
              <wp:posOffset>1985455</wp:posOffset>
            </wp:positionH>
            <wp:positionV relativeFrom="paragraph">
              <wp:posOffset>11051</wp:posOffset>
            </wp:positionV>
            <wp:extent cx="2406650" cy="1771015"/>
            <wp:effectExtent l="0" t="0" r="0" b="635"/>
            <wp:wrapSquare wrapText="bothSides"/>
            <wp:docPr id="5" name="Picture 5" descr="C:\Users\amanolak\Desktop\PentNew\OLLA\pentariLink\wilt_infra\run\test\ULMIMO\PresentTDLC300nsec_6RBs_20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manolak\Desktop\PentNew\OLLA\pentariLink\wilt_infra\run\test\ULMIMO\PresentTDLC300nsec_6RBs_20dB.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06650" cy="17710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FE811F0" w14:textId="7EE32715" w:rsidR="00405763" w:rsidRDefault="00405763" w:rsidP="00B54060">
      <w:pPr>
        <w:jc w:val="both"/>
        <w:rPr>
          <w:sz w:val="22"/>
          <w:szCs w:val="22"/>
        </w:rPr>
      </w:pPr>
    </w:p>
    <w:p w14:paraId="4EE71B6A" w14:textId="54328018" w:rsidR="00405763" w:rsidRDefault="00405763" w:rsidP="00B54060">
      <w:pPr>
        <w:jc w:val="both"/>
        <w:rPr>
          <w:sz w:val="22"/>
          <w:szCs w:val="22"/>
        </w:rPr>
      </w:pPr>
    </w:p>
    <w:p w14:paraId="665AFA8E" w14:textId="07262DBB" w:rsidR="00405763" w:rsidRDefault="00405763" w:rsidP="00B54060">
      <w:pPr>
        <w:jc w:val="both"/>
        <w:rPr>
          <w:sz w:val="22"/>
          <w:szCs w:val="22"/>
        </w:rPr>
      </w:pPr>
    </w:p>
    <w:p w14:paraId="15376C89" w14:textId="77777777" w:rsidR="00405763" w:rsidRDefault="00405763" w:rsidP="00B54060">
      <w:pPr>
        <w:jc w:val="both"/>
        <w:rPr>
          <w:sz w:val="22"/>
          <w:szCs w:val="22"/>
        </w:rPr>
      </w:pPr>
    </w:p>
    <w:p w14:paraId="2388442E" w14:textId="43C40C91" w:rsidR="00405763" w:rsidRDefault="00405763" w:rsidP="00B54060">
      <w:pPr>
        <w:jc w:val="both"/>
        <w:rPr>
          <w:sz w:val="22"/>
          <w:szCs w:val="22"/>
        </w:rPr>
      </w:pPr>
    </w:p>
    <w:p w14:paraId="70890778" w14:textId="04F379CE" w:rsidR="00405763" w:rsidRDefault="00424D2D" w:rsidP="00B54060">
      <w:pPr>
        <w:jc w:val="both"/>
        <w:rPr>
          <w:sz w:val="22"/>
          <w:szCs w:val="22"/>
        </w:rPr>
      </w:pPr>
      <w:r>
        <w:rPr>
          <w:noProof/>
        </w:rPr>
        <mc:AlternateContent>
          <mc:Choice Requires="wps">
            <w:drawing>
              <wp:anchor distT="0" distB="0" distL="114300" distR="114300" simplePos="0" relativeHeight="251658245" behindDoc="0" locked="0" layoutInCell="1" allowOverlap="1" wp14:anchorId="7F0E1462" wp14:editId="5B882033">
                <wp:simplePos x="0" y="0"/>
                <wp:positionH relativeFrom="margin">
                  <wp:align>right</wp:align>
                </wp:positionH>
                <wp:positionV relativeFrom="paragraph">
                  <wp:posOffset>173055</wp:posOffset>
                </wp:positionV>
                <wp:extent cx="6400165" cy="6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400165" cy="635"/>
                        </a:xfrm>
                        <a:prstGeom prst="rect">
                          <a:avLst/>
                        </a:prstGeom>
                        <a:solidFill>
                          <a:prstClr val="white"/>
                        </a:solidFill>
                        <a:ln>
                          <a:noFill/>
                        </a:ln>
                        <a:effectLst/>
                      </wps:spPr>
                      <wps:txbx>
                        <w:txbxContent>
                          <w:p w14:paraId="0CD803C8" w14:textId="06127EF1" w:rsidR="003B125F" w:rsidRPr="00744DEB" w:rsidRDefault="003B125F" w:rsidP="00424D2D">
                            <w:pPr>
                              <w:pStyle w:val="Caption"/>
                              <w:jc w:val="center"/>
                              <w:rPr>
                                <w:noProof/>
                              </w:rPr>
                            </w:pPr>
                            <w:r>
                              <w:t xml:space="preserve">Figure </w:t>
                            </w:r>
                            <w:fldSimple w:instr=" SEQ Figure \* ARABIC ">
                              <w:r>
                                <w:rPr>
                                  <w:noProof/>
                                </w:rPr>
                                <w:t>2</w:t>
                              </w:r>
                            </w:fldSimple>
                            <w:r>
                              <w:t xml:space="preserve"> </w:t>
                            </w:r>
                            <w:r w:rsidRPr="00334441">
                              <w:t>Beamforming gain with respect to OL precoding of both approaches in a 1.</w:t>
                            </w:r>
                            <w:r>
                              <w:t>08 MHz allocation (6 RBs) with a</w:t>
                            </w:r>
                            <w:r w:rsidRPr="00334441">
                              <w:t xml:space="preserve"> channel estimation MSE of </w:t>
                            </w:r>
                            <w:r>
                              <w:t>20 dB</w:t>
                            </w:r>
                            <w:r w:rsidRPr="00334441">
                              <w:t xml:space="preserve"> as a function of the antennas at the base station.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F0E1462" id="Text Box 6" o:spid="_x0000_s1027" type="#_x0000_t202" style="position:absolute;left:0;text-align:left;margin-left:452.75pt;margin-top:13.65pt;width:503.95pt;height:.05pt;z-index:251658245;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WGaMwIAAHIEAAAOAAAAZHJzL2Uyb0RvYy54bWysVMFu2zAMvQ/YPwi6L3a61RiMOEWWIsOA&#10;oC2QDD0rshwLkERNUmJnXz9KttOu22nYRaFI6tF8j8zirteKnIXzEkxF57OcEmE41NIcK/p9v/nw&#10;mRIfmKmZAiMqehGe3i3fv1t0thQ30IKqhSMIYnzZ2Yq2IdgyyzxvhWZ+BlYYDDbgNAt4dcesdqxD&#10;dK2ymzwvsg5cbR1w4T1674cgXSb8phE8PDaNF4GoiuK3hXS6dB7imS0XrDw6ZlvJx89g//AVmkmD&#10;Ra9Q9ywwcnLyDygtuQMPTZhx0Bk0jeQi9YDdzPM33exaZkXqBcnx9kqT/3+w/OH85IisK1pQYphG&#10;ifaiD+QL9KSI7HTWl5i0s5gWenSjypPfozM23TdOx19sh2Aceb5cuY1gHJ3FpzyfF7eUcIwVH28j&#10;Rvby1DofvgrQJBoVdShc4pOdtz4MqVNKrORByXojlYqXGFgrR84MRe5aGcQI/luWMjHXQHw1AA4e&#10;kaZkrBK7HbqKVugPfeLm2vEB6gsS4WAYJG/5RmL1LfPhiTmcHOwdtyE84tEo6CoKo0VJC+7n3/wx&#10;HwXFKCUdTmJF/Y8Tc4IS9c2g1HFsJ8NNxmEyzEmvAfue455Znkx84IKazMaBfsYlWcUqGGKGY62K&#10;hslch2EfcMm4WK1SEg6nZWFrdpZH6Inlff/MnB01CijtA0wzyso3Ug25SSy7OgXkPekYeR1YRP3j&#10;BQc7TcK4hHFzXt9T1stfxfIXAAAA//8DAFBLAwQUAAYACAAAACEAYcXz5t4AAAAHAQAADwAAAGRy&#10;cy9kb3ducmV2LnhtbEyPwU7DMBBE70j8g7VIXBC1aaMWQpyqquAAl4rQCzc33saBeB3ZThv+HudU&#10;jjszmnlbrEfbsRP60DqS8DATwJBqp1tqJOw/X+8fgYWoSKvOEUr4xQDr8vqqULl2Z/rAUxUblkoo&#10;5EqCibHPOQ+1QavCzPVIyTs6b1VMp2+49uqcym3H50IsuVUtpQWjetwarH+qwUrYZV87czccX943&#10;2cK/7Yft8ruppLy9GTfPwCKO8RKGCT+hQ5mYDm4gHVgnIT0SJcxXC2CTK8TqCdhhUjLgZcH/85d/&#10;AAAA//8DAFBLAQItABQABgAIAAAAIQC2gziS/gAAAOEBAAATAAAAAAAAAAAAAAAAAAAAAABbQ29u&#10;dGVudF9UeXBlc10ueG1sUEsBAi0AFAAGAAgAAAAhADj9If/WAAAAlAEAAAsAAAAAAAAAAAAAAAAA&#10;LwEAAF9yZWxzLy5yZWxzUEsBAi0AFAAGAAgAAAAhACYJYZozAgAAcgQAAA4AAAAAAAAAAAAAAAAA&#10;LgIAAGRycy9lMm9Eb2MueG1sUEsBAi0AFAAGAAgAAAAhAGHF8+beAAAABwEAAA8AAAAAAAAAAAAA&#10;AAAAjQQAAGRycy9kb3ducmV2LnhtbFBLBQYAAAAABAAEAPMAAACYBQAAAAA=&#10;" stroked="f">
                <v:textbox style="mso-fit-shape-to-text:t" inset="0,0,0,0">
                  <w:txbxContent>
                    <w:p w14:paraId="0CD803C8" w14:textId="06127EF1" w:rsidR="003B125F" w:rsidRPr="00744DEB" w:rsidRDefault="003B125F" w:rsidP="00424D2D">
                      <w:pPr>
                        <w:pStyle w:val="Caption"/>
                        <w:jc w:val="center"/>
                        <w:rPr>
                          <w:noProof/>
                        </w:rPr>
                      </w:pPr>
                      <w:r>
                        <w:t xml:space="preserve">Figure </w:t>
                      </w:r>
                      <w:fldSimple w:instr=" SEQ Figure \* ARABIC ">
                        <w:r>
                          <w:rPr>
                            <w:noProof/>
                          </w:rPr>
                          <w:t>2</w:t>
                        </w:r>
                      </w:fldSimple>
                      <w:r>
                        <w:t xml:space="preserve"> </w:t>
                      </w:r>
                      <w:r w:rsidRPr="00334441">
                        <w:t>Beamforming gain with respect to OL precoding of both approaches in a 1.</w:t>
                      </w:r>
                      <w:r>
                        <w:t>08 MHz allocation (6 RBs) with a</w:t>
                      </w:r>
                      <w:r w:rsidRPr="00334441">
                        <w:t xml:space="preserve"> channel estimation MSE of </w:t>
                      </w:r>
                      <w:r>
                        <w:t>20 dB</w:t>
                      </w:r>
                      <w:r w:rsidRPr="00334441">
                        <w:t xml:space="preserve"> as a function of the antennas at the base station.</w:t>
                      </w:r>
                    </w:p>
                  </w:txbxContent>
                </v:textbox>
                <w10:wrap type="square" anchorx="margin"/>
              </v:shape>
            </w:pict>
          </mc:Fallback>
        </mc:AlternateContent>
      </w:r>
    </w:p>
    <w:p w14:paraId="7D97E608" w14:textId="1F82D824" w:rsidR="006631FA" w:rsidRDefault="004E628C" w:rsidP="00B54060">
      <w:pPr>
        <w:jc w:val="both"/>
        <w:rPr>
          <w:sz w:val="22"/>
          <w:szCs w:val="22"/>
        </w:rPr>
      </w:pPr>
      <w:r>
        <w:rPr>
          <w:sz w:val="22"/>
          <w:szCs w:val="22"/>
        </w:rPr>
        <w:t>Note that if channel kn</w:t>
      </w:r>
      <w:r w:rsidR="006631FA">
        <w:rPr>
          <w:sz w:val="22"/>
          <w:szCs w:val="22"/>
        </w:rPr>
        <w:t>owledge at the transmitter has</w:t>
      </w:r>
      <w:r>
        <w:rPr>
          <w:sz w:val="22"/>
          <w:szCs w:val="22"/>
        </w:rPr>
        <w:t xml:space="preserve"> even lower quality, as shown in Figure 3 where MS</w:t>
      </w:r>
      <w:r w:rsidR="006631FA">
        <w:rPr>
          <w:sz w:val="22"/>
          <w:szCs w:val="22"/>
        </w:rPr>
        <w:t>E is 0 dB, per-RB beamforming can potentially lead to</w:t>
      </w:r>
      <w:r>
        <w:rPr>
          <w:sz w:val="22"/>
          <w:szCs w:val="22"/>
        </w:rPr>
        <w:t xml:space="preserve"> worse</w:t>
      </w:r>
      <w:r w:rsidR="006631FA">
        <w:rPr>
          <w:sz w:val="22"/>
          <w:szCs w:val="22"/>
        </w:rPr>
        <w:t xml:space="preserve"> beamforming</w:t>
      </w:r>
      <w:r>
        <w:rPr>
          <w:sz w:val="22"/>
          <w:szCs w:val="22"/>
        </w:rPr>
        <w:t xml:space="preserve"> than per-allocation beamforming, due to the higher mismatch in the transmit directions chosen in the per-RB beamforming</w:t>
      </w:r>
      <w:r w:rsidR="00DC01FA">
        <w:rPr>
          <w:sz w:val="22"/>
          <w:szCs w:val="22"/>
        </w:rPr>
        <w:t>, even for relatively large bandwidth allocations.</w:t>
      </w:r>
    </w:p>
    <w:p w14:paraId="13041D02" w14:textId="5F650D51" w:rsidR="006631FA" w:rsidRPr="00E363D8" w:rsidRDefault="008F19A7" w:rsidP="00B54060">
      <w:pPr>
        <w:jc w:val="both"/>
      </w:pPr>
      <w:r>
        <w:rPr>
          <w:noProof/>
          <w:sz w:val="22"/>
          <w:szCs w:val="22"/>
        </w:rPr>
        <w:lastRenderedPageBreak/>
        <w:drawing>
          <wp:anchor distT="0" distB="0" distL="114300" distR="114300" simplePos="0" relativeHeight="251658250" behindDoc="0" locked="0" layoutInCell="1" allowOverlap="1" wp14:anchorId="5FB9E7C9" wp14:editId="1BC61EBF">
            <wp:simplePos x="0" y="0"/>
            <wp:positionH relativeFrom="margin">
              <wp:posOffset>3178612</wp:posOffset>
            </wp:positionH>
            <wp:positionV relativeFrom="paragraph">
              <wp:posOffset>588504</wp:posOffset>
            </wp:positionV>
            <wp:extent cx="3439795" cy="1595120"/>
            <wp:effectExtent l="0" t="0" r="8255" b="5080"/>
            <wp:wrapSquare wrapText="bothSides"/>
            <wp:docPr id="12" name="Picture 12" descr="C:\Users\amanolak\Desktop\PentNew\OLLA\pentariLink\wilt_infra\run\test\ULMIMO\PresentTDLC_300nsec_20RB_MSE_0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anolak\Desktop\PentNew\OLLA\pentariLink\wilt_infra\run\test\ULMIMO\PresentTDLC_300nsec_20RB_MSE_0dB.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39795" cy="15951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A63C8">
        <w:rPr>
          <w:noProof/>
          <w:sz w:val="22"/>
          <w:szCs w:val="22"/>
        </w:rPr>
        <w:drawing>
          <wp:anchor distT="0" distB="0" distL="114300" distR="114300" simplePos="0" relativeHeight="251659274" behindDoc="0" locked="0" layoutInCell="1" allowOverlap="1" wp14:anchorId="296E773C" wp14:editId="42BCD0F0">
            <wp:simplePos x="0" y="0"/>
            <wp:positionH relativeFrom="margin">
              <wp:align>left</wp:align>
            </wp:positionH>
            <wp:positionV relativeFrom="paragraph">
              <wp:posOffset>637540</wp:posOffset>
            </wp:positionV>
            <wp:extent cx="3077210" cy="1424305"/>
            <wp:effectExtent l="0" t="0" r="8890" b="4445"/>
            <wp:wrapSquare wrapText="bothSides"/>
            <wp:docPr id="10" name="Picture 10" descr="C:\Users\amanolak\Desktop\PentNew\OLLA\pentariLink\wilt_infra\run\test\ULMIMO\PresentTDLC_300nsec_6RB_MSE_0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manolak\Desktop\PentNew\OLLA\pentariLink\wilt_infra\run\test\ULMIMO\PresentTDLC_300nsec_6RB_MSE_0dB.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77210" cy="1424305"/>
                    </a:xfrm>
                    <a:prstGeom prst="rect">
                      <a:avLst/>
                    </a:prstGeom>
                    <a:noFill/>
                    <a:ln>
                      <a:noFill/>
                    </a:ln>
                  </pic:spPr>
                </pic:pic>
              </a:graphicData>
            </a:graphic>
          </wp:anchor>
        </w:drawing>
      </w:r>
      <w:r w:rsidR="00F47EA3">
        <w:rPr>
          <w:b/>
          <w:i/>
          <w:u w:val="single"/>
        </w:rPr>
        <w:t>Observation 1:</w:t>
      </w:r>
      <w:r w:rsidR="00F47EA3">
        <w:t xml:space="preserve"> For link-budget limited users, per-RB svd-based frequency selective closed-loop UL beamforming cannot provide more than a small fraction of dB beamforming gain (e.g., 0.1 - 0.35 dB) compared to a per-allocation closed-loop flat beamforming even for optimistic assumptions on the channel knowledge at the transmitter. </w:t>
      </w:r>
    </w:p>
    <w:p w14:paraId="4A393577" w14:textId="2F40E8E4" w:rsidR="006631FA" w:rsidRDefault="003A63C8" w:rsidP="00B54060">
      <w:pPr>
        <w:jc w:val="both"/>
        <w:rPr>
          <w:sz w:val="22"/>
          <w:szCs w:val="22"/>
        </w:rPr>
      </w:pPr>
      <w:r>
        <w:rPr>
          <w:noProof/>
        </w:rPr>
        <mc:AlternateContent>
          <mc:Choice Requires="wps">
            <w:drawing>
              <wp:anchor distT="0" distB="0" distL="114300" distR="114300" simplePos="0" relativeHeight="251658249" behindDoc="0" locked="0" layoutInCell="1" allowOverlap="1" wp14:anchorId="0663BBA0" wp14:editId="62CBC772">
                <wp:simplePos x="0" y="0"/>
                <wp:positionH relativeFrom="column">
                  <wp:posOffset>92655</wp:posOffset>
                </wp:positionH>
                <wp:positionV relativeFrom="paragraph">
                  <wp:posOffset>1629852</wp:posOffset>
                </wp:positionV>
                <wp:extent cx="6495666" cy="635"/>
                <wp:effectExtent l="0" t="0" r="635" b="0"/>
                <wp:wrapSquare wrapText="bothSides"/>
                <wp:docPr id="11" name="Text Box 11"/>
                <wp:cNvGraphicFramePr/>
                <a:graphic xmlns:a="http://schemas.openxmlformats.org/drawingml/2006/main">
                  <a:graphicData uri="http://schemas.microsoft.com/office/word/2010/wordprocessingShape">
                    <wps:wsp>
                      <wps:cNvSpPr txBox="1"/>
                      <wps:spPr>
                        <a:xfrm>
                          <a:off x="0" y="0"/>
                          <a:ext cx="6495666" cy="635"/>
                        </a:xfrm>
                        <a:prstGeom prst="rect">
                          <a:avLst/>
                        </a:prstGeom>
                        <a:solidFill>
                          <a:prstClr val="white"/>
                        </a:solidFill>
                        <a:ln>
                          <a:noFill/>
                        </a:ln>
                        <a:effectLst/>
                      </wps:spPr>
                      <wps:txbx>
                        <w:txbxContent>
                          <w:p w14:paraId="6481295D" w14:textId="56BBA1A7" w:rsidR="003B125F" w:rsidRPr="00246A7D" w:rsidRDefault="003B125F" w:rsidP="006631FA">
                            <w:pPr>
                              <w:pStyle w:val="Caption"/>
                              <w:jc w:val="center"/>
                              <w:rPr>
                                <w:noProof/>
                              </w:rPr>
                            </w:pPr>
                            <w:r>
                              <w:t xml:space="preserve">Figure </w:t>
                            </w:r>
                            <w:fldSimple w:instr=" SEQ Figure \* ARABIC ">
                              <w:r>
                                <w:rPr>
                                  <w:noProof/>
                                </w:rPr>
                                <w:t>3</w:t>
                              </w:r>
                            </w:fldSimple>
                            <w:r>
                              <w:t xml:space="preserve"> </w:t>
                            </w:r>
                            <w:r w:rsidRPr="00BE6FB1">
                              <w:t xml:space="preserve">Beamforming gain with respect to OL precoding of both </w:t>
                            </w:r>
                            <w:r w:rsidR="00E87321">
                              <w:t xml:space="preserve">precoding design </w:t>
                            </w:r>
                            <w:r w:rsidRPr="00BE6FB1">
                              <w:t>wi</w:t>
                            </w:r>
                            <w:r>
                              <w:t xml:space="preserve">th a channel estimation MSE of </w:t>
                            </w:r>
                            <w:r w:rsidRPr="00BE6FB1">
                              <w:t>0 dB as a function of the antennas at the base station.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663BBA0" id="Text Box 11" o:spid="_x0000_s1028" type="#_x0000_t202" style="position:absolute;left:0;text-align:left;margin-left:7.3pt;margin-top:128.35pt;width:511.45pt;height:.05pt;z-index:25165824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p5ONAIAAHQEAAAOAAAAZHJzL2Uyb0RvYy54bWysVMFu2zAMvQ/YPwi6L06y1diMOEWWIsOA&#10;oi2QDD0rshwLkEWNUmJnXz9KjtOt22nYRaHIZ1J8j8zitm8NOyn0GmzJZ5MpZ8pKqLQ9lPzbbvPu&#10;I2c+CFsJA1aV/Kw8v12+fbPoXKHm0ICpFDJKYn3RuZI3Ibgiy7xsVCv8BJyyFKwBWxHoioesQtFR&#10;9tZk8+k0zzrAyiFI5T1574YgX6b8da1keKxrrwIzJae3hXRiOvfxzJYLURxQuEbLyzPEP7yiFdpS&#10;0WuqOxEEO6L+I1WrJYKHOkwktBnUtZYq9UDdzKavutk2wqnUC5Hj3ZUm///SyofTEzJdkXYzzqxo&#10;SaOd6gP7DD0jF/HTOV8QbOsIGHryE3b0e3LGtvsa2/hLDTGKE9PnK7sxmyRn/uHTTZ7nnEmK5e9v&#10;Yo7s5VOHPnxR0LJolBxJusSoON37MEBHSKzkwehqo42JlxhYG2QnQTJ3jQ7qkvw3lLERayF+NSQc&#10;PCrNyaVK7HboKlqh3/eJnfnY8R6qMxGBMIySd3Kjqfq98OFJIM0O9U77EB7pqA10JYeLxVkD+ONv&#10;/ognSSnKWUezWHL//ShQcWa+WhI7Du5o4GjsR8Me2zVQ36QfvSaZ9AEGM5o1QvtMa7KKVSgkrKRa&#10;JQ+juQ7DRtCaSbVaJRCNpxPh3m6djKlHlnf9s0B30SiQtA8wTqkoXkk1YJNYbnUMxHvSMfI6sEj6&#10;xwuNdpqEyxrG3fn1nlAvfxbLnwAAAP//AwBQSwMEFAAGAAgAAAAhAFumMmbhAAAACwEAAA8AAABk&#10;cnMvZG93bnJldi54bWxMj7FOwzAQhnck3sE6JBZEHdo0rUKcqqpgKEtF6MLmxtc4EJ8j22nD29dl&#10;gfG/+/Tfd8VqNB07ofOtJQFPkwQYUm1VS42A/cfr4xKYD5KU7CyhgB/0sCpvbwqZK3umdzxVoWGx&#10;hHwuBegQ+pxzX2s00k9sjxR3R+uMDDG6hisnz7HcdHyaJBk3sqV4QcseNxrr72owAnbp504/DMeX&#10;t3U6c9v9sMm+mkqI+7tx/Qws4Bj+YLjqR3Uoo9PBDqQ862JOs0gKmM6zBbArkMwWc2CH39ESeFnw&#10;/z+UFwAAAP//AwBQSwECLQAUAAYACAAAACEAtoM4kv4AAADhAQAAEwAAAAAAAAAAAAAAAAAAAAAA&#10;W0NvbnRlbnRfVHlwZXNdLnhtbFBLAQItABQABgAIAAAAIQA4/SH/1gAAAJQBAAALAAAAAAAAAAAA&#10;AAAAAC8BAABfcmVscy8ucmVsc1BLAQItABQABgAIAAAAIQB5qp5ONAIAAHQEAAAOAAAAAAAAAAAA&#10;AAAAAC4CAABkcnMvZTJvRG9jLnhtbFBLAQItABQABgAIAAAAIQBbpjJm4QAAAAsBAAAPAAAAAAAA&#10;AAAAAAAAAI4EAABkcnMvZG93bnJldi54bWxQSwUGAAAAAAQABADzAAAAnAUAAAAA&#10;" stroked="f">
                <v:textbox style="mso-fit-shape-to-text:t" inset="0,0,0,0">
                  <w:txbxContent>
                    <w:p w14:paraId="6481295D" w14:textId="56BBA1A7" w:rsidR="003B125F" w:rsidRPr="00246A7D" w:rsidRDefault="003B125F" w:rsidP="006631FA">
                      <w:pPr>
                        <w:pStyle w:val="Caption"/>
                        <w:jc w:val="center"/>
                        <w:rPr>
                          <w:noProof/>
                        </w:rPr>
                      </w:pPr>
                      <w:r>
                        <w:t xml:space="preserve">Figure </w:t>
                      </w:r>
                      <w:fldSimple w:instr=" SEQ Figure \* ARABIC ">
                        <w:r>
                          <w:rPr>
                            <w:noProof/>
                          </w:rPr>
                          <w:t>3</w:t>
                        </w:r>
                      </w:fldSimple>
                      <w:r>
                        <w:t xml:space="preserve"> </w:t>
                      </w:r>
                      <w:r w:rsidRPr="00BE6FB1">
                        <w:t xml:space="preserve">Beamforming gain with respect to OL precoding of both </w:t>
                      </w:r>
                      <w:r w:rsidR="00E87321">
                        <w:t xml:space="preserve">precoding design </w:t>
                      </w:r>
                      <w:r w:rsidRPr="00BE6FB1">
                        <w:t>wi</w:t>
                      </w:r>
                      <w:r>
                        <w:t xml:space="preserve">th a channel estimation MSE of </w:t>
                      </w:r>
                      <w:r w:rsidRPr="00BE6FB1">
                        <w:t>0 dB as a function of the antennas at the base station.</w:t>
                      </w:r>
                    </w:p>
                  </w:txbxContent>
                </v:textbox>
                <w10:wrap type="square"/>
              </v:shape>
            </w:pict>
          </mc:Fallback>
        </mc:AlternateContent>
      </w:r>
    </w:p>
    <w:p w14:paraId="5F1CFC57" w14:textId="5C348CD6" w:rsidR="00405763" w:rsidRPr="00F47EA3" w:rsidRDefault="00F47EA3" w:rsidP="00B54060">
      <w:pPr>
        <w:jc w:val="both"/>
      </w:pPr>
      <w:r>
        <w:rPr>
          <w:b/>
          <w:i/>
          <w:u w:val="single"/>
        </w:rPr>
        <w:t>Observation 2:</w:t>
      </w:r>
      <w:r>
        <w:t xml:space="preserve"> For link-budget limited users, per-RB svd-based frequency selective closed-loop UL beamforming </w:t>
      </w:r>
      <w:r w:rsidR="00867CA5">
        <w:t>could</w:t>
      </w:r>
      <w:r>
        <w:t xml:space="preserve"> potentially lead to smaller beamforming gain if there is a noisy channel knowledge at the transmitter.</w:t>
      </w:r>
      <w:r w:rsidR="00946AFC">
        <w:t xml:space="preserve"> </w:t>
      </w:r>
    </w:p>
    <w:p w14:paraId="1ABC1086" w14:textId="6EAF1461" w:rsidR="007C339F" w:rsidRDefault="007C339F" w:rsidP="007C339F">
      <w:pPr>
        <w:pStyle w:val="Heading3"/>
      </w:pPr>
      <w:r>
        <w:t xml:space="preserve">Beamforming gain TDL-C channel with </w:t>
      </w:r>
      <w:r w:rsidR="006413FD">
        <w:t>1</w:t>
      </w:r>
      <w:r>
        <w:t>00 nsec r.m.s. delay spread</w:t>
      </w:r>
    </w:p>
    <w:p w14:paraId="7B837C63" w14:textId="77777777" w:rsidR="00DC01FA" w:rsidRDefault="007C339F" w:rsidP="00DC01FA">
      <w:pPr>
        <w:jc w:val="both"/>
        <w:rPr>
          <w:sz w:val="22"/>
          <w:szCs w:val="22"/>
        </w:rPr>
      </w:pPr>
      <w:r>
        <w:rPr>
          <w:sz w:val="22"/>
          <w:szCs w:val="22"/>
        </w:rPr>
        <w:t xml:space="preserve">This is a scenario with </w:t>
      </w:r>
      <w:r w:rsidR="006413FD">
        <w:rPr>
          <w:sz w:val="22"/>
          <w:szCs w:val="22"/>
        </w:rPr>
        <w:t>small</w:t>
      </w:r>
      <w:r w:rsidR="00ED6347">
        <w:rPr>
          <w:sz w:val="22"/>
          <w:szCs w:val="22"/>
        </w:rPr>
        <w:t xml:space="preserve"> frequency selectivity, in which case we expect even smaller advantage of using a per-RB closed loop frequency selective fading</w:t>
      </w:r>
      <w:r w:rsidR="004311D0">
        <w:rPr>
          <w:sz w:val="22"/>
          <w:szCs w:val="22"/>
        </w:rPr>
        <w:t xml:space="preserve"> compared to a per-allocation beamforming design</w:t>
      </w:r>
      <w:r w:rsidR="00ED6347">
        <w:rPr>
          <w:sz w:val="22"/>
          <w:szCs w:val="22"/>
        </w:rPr>
        <w:t xml:space="preserve">. </w:t>
      </w:r>
      <w:r w:rsidR="00DC01FA">
        <w:rPr>
          <w:sz w:val="22"/>
          <w:szCs w:val="22"/>
        </w:rPr>
        <w:t>As it is shown in Figure 4</w:t>
      </w:r>
      <w:r w:rsidR="0074317A">
        <w:rPr>
          <w:sz w:val="22"/>
          <w:szCs w:val="22"/>
        </w:rPr>
        <w:t>, the difference in the be</w:t>
      </w:r>
      <w:r w:rsidR="002B3306">
        <w:rPr>
          <w:sz w:val="22"/>
          <w:szCs w:val="22"/>
        </w:rPr>
        <w:t>amforming gain is less than 0.15</w:t>
      </w:r>
      <w:r w:rsidR="00C43730">
        <w:rPr>
          <w:sz w:val="22"/>
          <w:szCs w:val="22"/>
        </w:rPr>
        <w:t xml:space="preserve"> dB, even in the genie channel knowledge at the transmitter case.</w:t>
      </w:r>
    </w:p>
    <w:p w14:paraId="55A3C501" w14:textId="7E47E4DC" w:rsidR="0020063A" w:rsidRDefault="0074317A" w:rsidP="00DC01FA">
      <w:pPr>
        <w:jc w:val="both"/>
        <w:rPr>
          <w:sz w:val="22"/>
          <w:szCs w:val="22"/>
        </w:rPr>
      </w:pPr>
      <w:r>
        <w:rPr>
          <w:noProof/>
          <w:sz w:val="22"/>
          <w:szCs w:val="22"/>
        </w:rPr>
        <w:drawing>
          <wp:anchor distT="0" distB="0" distL="114300" distR="114300" simplePos="0" relativeHeight="251658247" behindDoc="0" locked="0" layoutInCell="1" allowOverlap="1" wp14:anchorId="10465862" wp14:editId="494C2C2B">
            <wp:simplePos x="0" y="0"/>
            <wp:positionH relativeFrom="margin">
              <wp:posOffset>3428365</wp:posOffset>
            </wp:positionH>
            <wp:positionV relativeFrom="paragraph">
              <wp:posOffset>247337</wp:posOffset>
            </wp:positionV>
            <wp:extent cx="2456180" cy="1804670"/>
            <wp:effectExtent l="0" t="0" r="1270" b="5080"/>
            <wp:wrapSquare wrapText="bothSides"/>
            <wp:docPr id="8" name="Picture 8" descr="C:\Users\amanolak\Desktop\PentNew\OLLA\pentariLink\wilt_infra\run\test\ULMIMO\PresentTDLC_100nsec_10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manolak\Desktop\PentNew\OLLA\pentariLink\wilt_infra\run\test\ULMIMO\PresentTDLC_100nsec_10RB.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56180" cy="18046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1648245" w14:textId="774AD25C" w:rsidR="0074317A" w:rsidRDefault="0074317A" w:rsidP="007C339F">
      <w:pPr>
        <w:rPr>
          <w:sz w:val="22"/>
          <w:szCs w:val="22"/>
        </w:rPr>
      </w:pPr>
      <w:r>
        <w:rPr>
          <w:noProof/>
          <w:sz w:val="22"/>
          <w:szCs w:val="22"/>
        </w:rPr>
        <w:drawing>
          <wp:anchor distT="0" distB="0" distL="114300" distR="114300" simplePos="0" relativeHeight="251658246" behindDoc="0" locked="0" layoutInCell="1" allowOverlap="1" wp14:anchorId="74A109AE" wp14:editId="259BB707">
            <wp:simplePos x="0" y="0"/>
            <wp:positionH relativeFrom="column">
              <wp:posOffset>234950</wp:posOffset>
            </wp:positionH>
            <wp:positionV relativeFrom="paragraph">
              <wp:posOffset>11430</wp:posOffset>
            </wp:positionV>
            <wp:extent cx="2346960" cy="1727200"/>
            <wp:effectExtent l="0" t="0" r="0" b="6350"/>
            <wp:wrapSquare wrapText="bothSides"/>
            <wp:docPr id="7" name="Picture 7" descr="C:\Users\amanolak\Desktop\PentNew\OLLA\pentariLink\wilt_infra\run\test\ULMIMO\PresentTDLC100nsec_6R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manolak\Desktop\PentNew\OLLA\pentariLink\wilt_infra\run\test\ULMIMO\PresentTDLC100nsec_6RBs.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46960" cy="1727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E64B36" w14:textId="22D0A287" w:rsidR="0074317A" w:rsidRDefault="0074317A" w:rsidP="007C339F">
      <w:pPr>
        <w:rPr>
          <w:sz w:val="22"/>
          <w:szCs w:val="22"/>
        </w:rPr>
      </w:pPr>
    </w:p>
    <w:p w14:paraId="48E02EA8" w14:textId="3247FBB1" w:rsidR="0074317A" w:rsidRDefault="0074317A" w:rsidP="007C339F">
      <w:pPr>
        <w:rPr>
          <w:sz w:val="22"/>
          <w:szCs w:val="22"/>
        </w:rPr>
      </w:pPr>
    </w:p>
    <w:p w14:paraId="5B6ACD47" w14:textId="0A42842B" w:rsidR="0074317A" w:rsidRDefault="0074317A" w:rsidP="007C339F">
      <w:pPr>
        <w:rPr>
          <w:sz w:val="22"/>
          <w:szCs w:val="22"/>
        </w:rPr>
      </w:pPr>
    </w:p>
    <w:p w14:paraId="2B520C5D" w14:textId="792C5656" w:rsidR="0074317A" w:rsidRDefault="0074317A" w:rsidP="007C339F">
      <w:pPr>
        <w:rPr>
          <w:sz w:val="22"/>
          <w:szCs w:val="22"/>
        </w:rPr>
      </w:pPr>
    </w:p>
    <w:p w14:paraId="7860DE71" w14:textId="6B91CFBA" w:rsidR="003A6666" w:rsidRPr="003A6666" w:rsidRDefault="0074317A" w:rsidP="00507538">
      <w:pPr>
        <w:rPr>
          <w:sz w:val="22"/>
          <w:szCs w:val="22"/>
        </w:rPr>
      </w:pPr>
      <w:r>
        <w:rPr>
          <w:noProof/>
        </w:rPr>
        <mc:AlternateContent>
          <mc:Choice Requires="wps">
            <w:drawing>
              <wp:anchor distT="0" distB="0" distL="114300" distR="114300" simplePos="0" relativeHeight="251658248" behindDoc="0" locked="0" layoutInCell="1" allowOverlap="1" wp14:anchorId="39256407" wp14:editId="20C84EA1">
                <wp:simplePos x="0" y="0"/>
                <wp:positionH relativeFrom="column">
                  <wp:posOffset>234950</wp:posOffset>
                </wp:positionH>
                <wp:positionV relativeFrom="paragraph">
                  <wp:posOffset>386080</wp:posOffset>
                </wp:positionV>
                <wp:extent cx="5895340" cy="635"/>
                <wp:effectExtent l="0" t="0" r="0" b="6350"/>
                <wp:wrapSquare wrapText="bothSides"/>
                <wp:docPr id="9" name="Text Box 9"/>
                <wp:cNvGraphicFramePr/>
                <a:graphic xmlns:a="http://schemas.openxmlformats.org/drawingml/2006/main">
                  <a:graphicData uri="http://schemas.microsoft.com/office/word/2010/wordprocessingShape">
                    <wps:wsp>
                      <wps:cNvSpPr txBox="1"/>
                      <wps:spPr>
                        <a:xfrm>
                          <a:off x="0" y="0"/>
                          <a:ext cx="5895340" cy="635"/>
                        </a:xfrm>
                        <a:prstGeom prst="rect">
                          <a:avLst/>
                        </a:prstGeom>
                        <a:solidFill>
                          <a:prstClr val="white"/>
                        </a:solidFill>
                        <a:ln>
                          <a:noFill/>
                        </a:ln>
                        <a:effectLst/>
                      </wps:spPr>
                      <wps:txbx>
                        <w:txbxContent>
                          <w:p w14:paraId="77282206" w14:textId="13178DE0" w:rsidR="003B125F" w:rsidRPr="009447BD" w:rsidRDefault="003B125F" w:rsidP="0074317A">
                            <w:pPr>
                              <w:pStyle w:val="Caption"/>
                              <w:jc w:val="center"/>
                              <w:rPr>
                                <w:noProof/>
                              </w:rPr>
                            </w:pPr>
                            <w:r>
                              <w:t xml:space="preserve">Figure </w:t>
                            </w:r>
                            <w:fldSimple w:instr=" SEQ Figure \* ARABIC ">
                              <w:r>
                                <w:rPr>
                                  <w:noProof/>
                                </w:rPr>
                                <w:t>4</w:t>
                              </w:r>
                            </w:fldSimple>
                            <w:r>
                              <w:t xml:space="preserve"> </w:t>
                            </w:r>
                            <w:r w:rsidRPr="00334441">
                              <w:t>Beamforming gain with respect to OL precoding of both approaches in a 1.</w:t>
                            </w:r>
                            <w:r>
                              <w:t>08 MHz allocation (6 RBs) and 1.8 MHz allocation (10 RBs) with a</w:t>
                            </w:r>
                            <w:r w:rsidRPr="00334441">
                              <w:t xml:space="preserve"> </w:t>
                            </w:r>
                            <w:r w:rsidRPr="00FD158C">
                              <w:t>TDL-C 100 nsec, 2 T</w:t>
                            </w:r>
                            <w:r>
                              <w:t>x Antennas, Genie Channel knowledge.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9256407" id="Text Box 9" o:spid="_x0000_s1029" type="#_x0000_t202" style="position:absolute;margin-left:18.5pt;margin-top:30.4pt;width:464.2pt;height:.05pt;z-index:251658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eBNAIAAHIEAAAOAAAAZHJzL2Uyb0RvYy54bWysVFFv2jAQfp+0/2D5fQTKqEpEqBgV0yTU&#10;VoKpz8ZxiCXb59mGhP36nZ2Edt2epr2Y8935u9z33bG4b7UiZ+G8BFPQyWhMiTAcSmmOBf2+33y6&#10;o8QHZkqmwIiCXoSn98uPHxaNzcUN1KBK4QiCGJ83tqB1CDbPMs9roZkfgRUGgxU4zQJe3TErHWsQ&#10;XavsZjy+zRpwpXXAhffofeiCdJnwq0rw8FRVXgSiCorfFtLp0nmIZ7ZcsPzomK0l7z+D/cNXaCYN&#10;Fr1CPbDAyMnJP6C05A48VGHEQWdQVZKL1AN2Mxm/62ZXMytSL0iOt1ea/P+D5Y/nZ0dkWdA5JYZp&#10;lGgv2kC+QEvmkZ3G+hyTdhbTQotuVHnwe3TGptvK6fiL7RCMI8+XK7cRjKNzdjefTT9jiGPsdjqL&#10;GNnrU+t8+CpAk2gU1KFwiU923vrQpQ4psZIHJcuNVCpeYmCtHDkzFLmpZRA9+G9ZysRcA/FVB9h5&#10;RJqSvkrstusqWqE9tImb6dDxAcoLEuGgGyRv+UZi9S3z4Zk5nBxsELchPOFRKWgKCr1FSQ3u59/8&#10;MR8FxSglDU5iQf2PE3OCEvXNoNRxbAfDDcZhMMxJrwH7nuCeWZ5MfOCCGszKgX7BJVnFKhhihmOt&#10;gobBXIduH3DJuFitUhIOp2Vha3aWR+iB5X37wpztNQoo7SMMM8ryd1J1uUksuzoF5D3pGHntWET9&#10;4wUHO01Cv4Rxc97eU9brX8XyFwAAAP//AwBQSwMEFAAGAAgAAAAhAFshNgHfAAAACAEAAA8AAABk&#10;cnMvZG93bnJldi54bWxMj8FOwzAMhu9IvENkJC6IpbBSWGk6TRMc2GWi7MIta7ym0DhVk27l7fFO&#10;cLR/6/f3FcvJdeKIQ2g9KbibJSCQam9aahTsPl5vn0CEqMnozhMq+MEAy/LyotC58Sd6x2MVG8El&#10;FHKtwMbY51KG2qLTYeZ7JM4OfnA68jg00gz6xOWuk/dJkkmnW+IPVve4tlh/V6NTsE0/t/ZmPLxs&#10;Vul8eNuN6+yrqZS6vppWzyAiTvHvGM74jA4lM+39SCaITsH8kVWigixhA84X2UMKYn9eLECWhfwv&#10;UP4CAAD//wMAUEsBAi0AFAAGAAgAAAAhALaDOJL+AAAA4QEAABMAAAAAAAAAAAAAAAAAAAAAAFtD&#10;b250ZW50X1R5cGVzXS54bWxQSwECLQAUAAYACAAAACEAOP0h/9YAAACUAQAACwAAAAAAAAAAAAAA&#10;AAAvAQAAX3JlbHMvLnJlbHNQSwECLQAUAAYACAAAACEA2f5XgTQCAAByBAAADgAAAAAAAAAAAAAA&#10;AAAuAgAAZHJzL2Uyb0RvYy54bWxQSwECLQAUAAYACAAAACEAWyE2Ad8AAAAIAQAADwAAAAAAAAAA&#10;AAAAAACOBAAAZHJzL2Rvd25yZXYueG1sUEsFBgAAAAAEAAQA8wAAAJoFAAAAAA==&#10;" stroked="f">
                <v:textbox style="mso-fit-shape-to-text:t" inset="0,0,0,0">
                  <w:txbxContent>
                    <w:p w14:paraId="77282206" w14:textId="13178DE0" w:rsidR="003B125F" w:rsidRPr="009447BD" w:rsidRDefault="003B125F" w:rsidP="0074317A">
                      <w:pPr>
                        <w:pStyle w:val="Caption"/>
                        <w:jc w:val="center"/>
                        <w:rPr>
                          <w:noProof/>
                        </w:rPr>
                      </w:pPr>
                      <w:r>
                        <w:t xml:space="preserve">Figure </w:t>
                      </w:r>
                      <w:fldSimple w:instr=" SEQ Figure \* ARABIC ">
                        <w:r>
                          <w:rPr>
                            <w:noProof/>
                          </w:rPr>
                          <w:t>4</w:t>
                        </w:r>
                      </w:fldSimple>
                      <w:r>
                        <w:t xml:space="preserve"> </w:t>
                      </w:r>
                      <w:r w:rsidRPr="00334441">
                        <w:t>Beamforming gain with respect to OL precoding of both approaches in a 1.</w:t>
                      </w:r>
                      <w:r>
                        <w:t>08 MHz allocation (6 RBs) and 1.8 MHz allocation (10 RBs) with a</w:t>
                      </w:r>
                      <w:r w:rsidRPr="00334441">
                        <w:t xml:space="preserve"> </w:t>
                      </w:r>
                      <w:r w:rsidRPr="00FD158C">
                        <w:t>TDL-C 100 nsec, 2 T</w:t>
                      </w:r>
                      <w:r>
                        <w:t>x Antennas, Genie Channel knowledge.</w:t>
                      </w:r>
                    </w:p>
                  </w:txbxContent>
                </v:textbox>
                <w10:wrap type="square"/>
              </v:shape>
            </w:pict>
          </mc:Fallback>
        </mc:AlternateContent>
      </w:r>
    </w:p>
    <w:p w14:paraId="15B8F4A8" w14:textId="1A2B22EF" w:rsidR="00507538" w:rsidRDefault="00AB5EBD" w:rsidP="00AB5EBD">
      <w:pPr>
        <w:pStyle w:val="Heading1"/>
      </w:pPr>
      <w:r>
        <w:t>Additional considerations</w:t>
      </w:r>
    </w:p>
    <w:p w14:paraId="734208BB" w14:textId="3E5EFF01" w:rsidR="00AB5EBD" w:rsidRDefault="00AB5EBD" w:rsidP="00AB5EBD">
      <w:pPr>
        <w:jc w:val="both"/>
      </w:pPr>
      <w:r>
        <w:t xml:space="preserve">It </w:t>
      </w:r>
      <w:r w:rsidRPr="00AB5EBD">
        <w:t xml:space="preserve">should be noted that additional constraints could be taken into account that would potentially </w:t>
      </w:r>
      <w:r w:rsidR="00780D3B" w:rsidRPr="00AB5EBD">
        <w:t xml:space="preserve">make the </w:t>
      </w:r>
      <w:r w:rsidRPr="00AB5EBD">
        <w:t>beamforming</w:t>
      </w:r>
      <w:r w:rsidR="00780D3B" w:rsidRPr="00AB5EBD">
        <w:t xml:space="preserve"> gain difference between a </w:t>
      </w:r>
      <w:r w:rsidRPr="00AB5EBD">
        <w:t xml:space="preserve">per-RB beamforming and a per-allocation beamforming even </w:t>
      </w:r>
      <w:r w:rsidR="00780D3B" w:rsidRPr="00AB5EBD">
        <w:t>smaller</w:t>
      </w:r>
      <w:r w:rsidRPr="00AB5EBD">
        <w:t xml:space="preserve"> </w:t>
      </w:r>
      <w:r>
        <w:t>than</w:t>
      </w:r>
      <w:r w:rsidRPr="00AB5EBD">
        <w:t xml:space="preserve"> what is reported in this study</w:t>
      </w:r>
      <w:r w:rsidR="00780D3B" w:rsidRPr="00AB5EBD">
        <w:t>.</w:t>
      </w:r>
      <w:r w:rsidRPr="00AB5EBD">
        <w:t xml:space="preserve"> Specifically,</w:t>
      </w:r>
      <w:r w:rsidR="00780D3B" w:rsidRPr="00AB5EBD">
        <w:t xml:space="preserve"> </w:t>
      </w:r>
    </w:p>
    <w:p w14:paraId="3D5E51F3" w14:textId="0C8D5837" w:rsidR="00AB5EBD" w:rsidRDefault="00780D3B" w:rsidP="00AB5EBD">
      <w:pPr>
        <w:pStyle w:val="ListParagraph"/>
        <w:numPr>
          <w:ilvl w:val="0"/>
          <w:numId w:val="31"/>
        </w:numPr>
        <w:jc w:val="both"/>
        <w:rPr>
          <w:rFonts w:ascii="Times New Roman" w:eastAsia="SimSun" w:hAnsi="Times New Roman"/>
          <w:sz w:val="20"/>
          <w:szCs w:val="20"/>
        </w:rPr>
      </w:pPr>
      <w:r w:rsidRPr="00AB5EBD">
        <w:rPr>
          <w:rFonts w:ascii="Times New Roman" w:eastAsia="SimSun" w:hAnsi="Times New Roman"/>
          <w:sz w:val="20"/>
          <w:szCs w:val="20"/>
        </w:rPr>
        <w:t>Different UE PA config</w:t>
      </w:r>
      <w:r w:rsidR="00AB5EBD">
        <w:rPr>
          <w:rFonts w:ascii="Times New Roman" w:eastAsia="SimSun" w:hAnsi="Times New Roman"/>
          <w:sz w:val="20"/>
          <w:szCs w:val="20"/>
        </w:rPr>
        <w:t>uration</w:t>
      </w:r>
      <w:r w:rsidRPr="00AB5EBD">
        <w:rPr>
          <w:rFonts w:ascii="Times New Roman" w:eastAsia="SimSun" w:hAnsi="Times New Roman"/>
          <w:sz w:val="20"/>
          <w:szCs w:val="20"/>
        </w:rPr>
        <w:t xml:space="preserve"> could potentially limit the BF gains</w:t>
      </w:r>
      <w:r w:rsidR="00AB5EBD">
        <w:rPr>
          <w:rFonts w:ascii="Times New Roman" w:eastAsia="SimSun" w:hAnsi="Times New Roman"/>
          <w:sz w:val="20"/>
          <w:szCs w:val="20"/>
        </w:rPr>
        <w:t xml:space="preserve"> of a very frequency selective non-codebook-based beamforming</w:t>
      </w:r>
      <w:r w:rsidRPr="00AB5EBD">
        <w:rPr>
          <w:rFonts w:ascii="Times New Roman" w:eastAsia="SimSun" w:hAnsi="Times New Roman"/>
          <w:sz w:val="20"/>
          <w:szCs w:val="20"/>
        </w:rPr>
        <w:t>.</w:t>
      </w:r>
      <w:r w:rsidR="00AB5EBD">
        <w:rPr>
          <w:rFonts w:ascii="Times New Roman" w:eastAsia="SimSun" w:hAnsi="Times New Roman"/>
          <w:sz w:val="20"/>
          <w:szCs w:val="20"/>
        </w:rPr>
        <w:t xml:space="preserve"> For example, i</w:t>
      </w:r>
      <w:r w:rsidRPr="00AB5EBD">
        <w:rPr>
          <w:rFonts w:ascii="Times New Roman" w:eastAsia="SimSun" w:hAnsi="Times New Roman"/>
          <w:sz w:val="20"/>
          <w:szCs w:val="20"/>
        </w:rPr>
        <w:t xml:space="preserve">f the UE has 1 stronger PA than the other, then </w:t>
      </w:r>
      <w:r w:rsidR="00AB5EBD">
        <w:rPr>
          <w:rFonts w:ascii="Times New Roman" w:eastAsia="SimSun" w:hAnsi="Times New Roman"/>
          <w:sz w:val="20"/>
          <w:szCs w:val="20"/>
        </w:rPr>
        <w:t>there are restrictions on the beamforming vectors that could be used for precoding</w:t>
      </w:r>
      <w:r w:rsidRPr="00AB5EBD">
        <w:rPr>
          <w:rFonts w:ascii="Times New Roman" w:eastAsia="SimSun" w:hAnsi="Times New Roman"/>
          <w:sz w:val="20"/>
          <w:szCs w:val="20"/>
        </w:rPr>
        <w:t>.</w:t>
      </w:r>
    </w:p>
    <w:p w14:paraId="7322223D" w14:textId="10CBDA48" w:rsidR="000B1CDB" w:rsidRDefault="00AB5EBD" w:rsidP="000B1CDB">
      <w:pPr>
        <w:pStyle w:val="ListParagraph"/>
        <w:numPr>
          <w:ilvl w:val="0"/>
          <w:numId w:val="31"/>
        </w:numPr>
        <w:jc w:val="both"/>
        <w:rPr>
          <w:rFonts w:ascii="Times New Roman" w:eastAsia="SimSun" w:hAnsi="Times New Roman"/>
          <w:sz w:val="20"/>
          <w:szCs w:val="20"/>
        </w:rPr>
      </w:pPr>
      <w:r w:rsidRPr="005F3B59">
        <w:rPr>
          <w:rFonts w:ascii="Times New Roman" w:eastAsia="SimSun" w:hAnsi="Times New Roman"/>
          <w:sz w:val="20"/>
          <w:szCs w:val="20"/>
        </w:rPr>
        <w:lastRenderedPageBreak/>
        <w:t>If only closed-loop c</w:t>
      </w:r>
      <w:r w:rsidR="00780D3B" w:rsidRPr="005F3B59">
        <w:rPr>
          <w:rFonts w:ascii="Times New Roman" w:eastAsia="SimSun" w:hAnsi="Times New Roman"/>
          <w:sz w:val="20"/>
          <w:szCs w:val="20"/>
        </w:rPr>
        <w:t>odebook-based precoding is</w:t>
      </w:r>
      <w:r w:rsidRPr="005F3B59">
        <w:rPr>
          <w:rFonts w:ascii="Times New Roman" w:eastAsia="SimSun" w:hAnsi="Times New Roman"/>
          <w:sz w:val="20"/>
          <w:szCs w:val="20"/>
        </w:rPr>
        <w:t xml:space="preserve"> possible, then the overall uplink beamforming</w:t>
      </w:r>
      <w:r w:rsidR="00780D3B" w:rsidRPr="005F3B59">
        <w:rPr>
          <w:rFonts w:ascii="Times New Roman" w:eastAsia="SimSun" w:hAnsi="Times New Roman"/>
          <w:sz w:val="20"/>
          <w:szCs w:val="20"/>
        </w:rPr>
        <w:t xml:space="preserve"> gains will be smaller, </w:t>
      </w:r>
      <w:r w:rsidRPr="005F3B59">
        <w:rPr>
          <w:rFonts w:ascii="Times New Roman" w:eastAsia="SimSun" w:hAnsi="Times New Roman"/>
          <w:sz w:val="20"/>
          <w:szCs w:val="20"/>
        </w:rPr>
        <w:t>and the marginal advantage of a per-RB beamforming gain could be smaller.</w:t>
      </w:r>
    </w:p>
    <w:p w14:paraId="3E6055E4" w14:textId="77777777" w:rsidR="005F3B59" w:rsidRPr="005F3B59" w:rsidRDefault="005F3B59" w:rsidP="005F3B59">
      <w:pPr>
        <w:pStyle w:val="ListParagraph"/>
        <w:jc w:val="both"/>
        <w:rPr>
          <w:rFonts w:ascii="Times New Roman" w:eastAsia="SimSun" w:hAnsi="Times New Roman"/>
          <w:sz w:val="20"/>
          <w:szCs w:val="20"/>
        </w:rPr>
      </w:pPr>
    </w:p>
    <w:p w14:paraId="1EC26BCA" w14:textId="0418B662" w:rsidR="00AB5EBD" w:rsidRDefault="00AB5EBD" w:rsidP="000B1CDB">
      <w:pPr>
        <w:jc w:val="both"/>
      </w:pPr>
      <w:r>
        <w:t>Finally, note that in the cell-edge scenario for which DFT-S-OFDM is intended to be used, the UE is in the edge of a m</w:t>
      </w:r>
      <w:r w:rsidR="00802E55">
        <w:t>acro-</w:t>
      </w:r>
      <w:r w:rsidR="00780D3B" w:rsidRPr="00AB5EBD">
        <w:t>cell, where the performance is mostly thermal limited, ra</w:t>
      </w:r>
      <w:r>
        <w:t xml:space="preserve">ther than interference limited. Therefore, a per-RB beamforming method </w:t>
      </w:r>
      <w:r w:rsidR="000B1CDB">
        <w:t xml:space="preserve">that could potentially adapt to narrowband interference </w:t>
      </w:r>
      <w:r w:rsidR="00802E55">
        <w:t>will not in general provide</w:t>
      </w:r>
      <w:r w:rsidR="005F3B59">
        <w:t xml:space="preserve"> </w:t>
      </w:r>
      <w:r w:rsidR="00802E55">
        <w:t>additional</w:t>
      </w:r>
      <w:r w:rsidR="005F3B59">
        <w:t xml:space="preserve"> </w:t>
      </w:r>
      <w:r w:rsidR="000B1CDB">
        <w:t xml:space="preserve">gains </w:t>
      </w:r>
      <w:r w:rsidR="00802E55">
        <w:t xml:space="preserve">over </w:t>
      </w:r>
      <w:r w:rsidR="000B1CDB">
        <w:t>a per-alloc</w:t>
      </w:r>
      <w:r w:rsidR="00802E55">
        <w:t xml:space="preserve">ation beamforming vector </w:t>
      </w:r>
      <w:r w:rsidR="000B1CDB">
        <w:t xml:space="preserve">in this deployment scenario. </w:t>
      </w:r>
      <w:r>
        <w:t xml:space="preserve"> </w:t>
      </w:r>
    </w:p>
    <w:p w14:paraId="4CF5E4FB" w14:textId="2C2D0A58" w:rsidR="00C86EDA" w:rsidRDefault="00C86EDA" w:rsidP="00C86EDA">
      <w:pPr>
        <w:pStyle w:val="Heading1"/>
      </w:pPr>
      <w:r>
        <w:t xml:space="preserve">Summary </w:t>
      </w:r>
    </w:p>
    <w:p w14:paraId="2DBCEB23" w14:textId="504AA10B" w:rsidR="00C86EDA" w:rsidRDefault="00C86EDA" w:rsidP="00C86EDA">
      <w:pPr>
        <w:rPr>
          <w:lang w:val="en-GB"/>
        </w:rPr>
      </w:pPr>
      <w:r>
        <w:rPr>
          <w:lang w:val="en-GB"/>
        </w:rPr>
        <w:t xml:space="preserve">Table 2 summarizes </w:t>
      </w:r>
      <w:r w:rsidR="00132698">
        <w:rPr>
          <w:lang w:val="en-GB"/>
        </w:rPr>
        <w:t>some of the</w:t>
      </w:r>
      <w:r>
        <w:rPr>
          <w:lang w:val="en-GB"/>
        </w:rPr>
        <w:t xml:space="preserve"> results </w:t>
      </w:r>
      <w:r w:rsidR="00132698">
        <w:rPr>
          <w:lang w:val="en-GB"/>
        </w:rPr>
        <w:t>presented in</w:t>
      </w:r>
      <w:r>
        <w:rPr>
          <w:lang w:val="en-GB"/>
        </w:rPr>
        <w:t xml:space="preserve"> this study by taking also into account the difference of 2 dB in the link budget between a CP-OFDM and DFT-S-OFDM waveform </w:t>
      </w:r>
      <w:r w:rsidR="00132698">
        <w:rPr>
          <w:lang w:val="en-GB"/>
        </w:rPr>
        <w:t>resulting by the</w:t>
      </w:r>
      <w:r>
        <w:rPr>
          <w:lang w:val="en-GB"/>
        </w:rPr>
        <w:t xml:space="preserve"> PA efficiency (studied in [6]). </w:t>
      </w:r>
    </w:p>
    <w:tbl>
      <w:tblPr>
        <w:tblStyle w:val="GridTable5Dark-Accent5"/>
        <w:tblW w:w="10255" w:type="dxa"/>
        <w:jc w:val="center"/>
        <w:tblLook w:val="04A0" w:firstRow="1" w:lastRow="0" w:firstColumn="1" w:lastColumn="0" w:noHBand="0" w:noVBand="1"/>
      </w:tblPr>
      <w:tblGrid>
        <w:gridCol w:w="1795"/>
        <w:gridCol w:w="2970"/>
        <w:gridCol w:w="2942"/>
        <w:gridCol w:w="2548"/>
      </w:tblGrid>
      <w:tr w:rsidR="00132698" w14:paraId="38F7DFDC" w14:textId="2FBA6B45" w:rsidTr="005C65FA">
        <w:trPr>
          <w:cnfStyle w:val="100000000000" w:firstRow="1" w:lastRow="0" w:firstColumn="0" w:lastColumn="0" w:oddVBand="0" w:evenVBand="0" w:oddHBand="0" w:evenHBand="0" w:firstRowFirstColumn="0" w:firstRowLastColumn="0" w:lastRowFirstColumn="0" w:lastRowLastColumn="0"/>
          <w:trHeight w:val="60"/>
          <w:jc w:val="center"/>
        </w:trPr>
        <w:tc>
          <w:tcPr>
            <w:cnfStyle w:val="001000000000" w:firstRow="0" w:lastRow="0" w:firstColumn="1" w:lastColumn="0" w:oddVBand="0" w:evenVBand="0" w:oddHBand="0" w:evenHBand="0" w:firstRowFirstColumn="0" w:firstRowLastColumn="0" w:lastRowFirstColumn="0" w:lastRowLastColumn="0"/>
            <w:tcW w:w="1795" w:type="dxa"/>
            <w:vAlign w:val="center"/>
          </w:tcPr>
          <w:p w14:paraId="24C4BE71" w14:textId="4634E199" w:rsidR="00132698" w:rsidRDefault="00132698" w:rsidP="005C65FA">
            <w:pPr>
              <w:jc w:val="center"/>
              <w:rPr>
                <w:lang w:val="en-GB"/>
              </w:rPr>
            </w:pPr>
          </w:p>
        </w:tc>
        <w:tc>
          <w:tcPr>
            <w:tcW w:w="2970" w:type="dxa"/>
            <w:vAlign w:val="center"/>
          </w:tcPr>
          <w:p w14:paraId="2ACACD8B" w14:textId="4B5CAD4C" w:rsidR="00132698" w:rsidRPr="008F19A7" w:rsidRDefault="00132698" w:rsidP="00E00F59">
            <w:pPr>
              <w:jc w:val="center"/>
              <w:cnfStyle w:val="100000000000" w:firstRow="1" w:lastRow="0" w:firstColumn="0" w:lastColumn="0" w:oddVBand="0" w:evenVBand="0" w:oddHBand="0" w:evenHBand="0" w:firstRowFirstColumn="0" w:firstRowLastColumn="0" w:lastRowFirstColumn="0" w:lastRowLastColumn="0"/>
              <w:rPr>
                <w:sz w:val="18"/>
                <w:lang w:val="en-GB"/>
              </w:rPr>
            </w:pPr>
            <w:r w:rsidRPr="008F19A7">
              <w:rPr>
                <w:sz w:val="18"/>
                <w:lang w:val="en-GB"/>
              </w:rPr>
              <w:t xml:space="preserve">DFT-S-OFDM </w:t>
            </w:r>
            <w:r w:rsidR="00E00F59" w:rsidRPr="008F19A7">
              <w:rPr>
                <w:sz w:val="18"/>
                <w:lang w:val="en-GB"/>
              </w:rPr>
              <w:t>loss over</w:t>
            </w:r>
            <w:r w:rsidRPr="008F19A7">
              <w:rPr>
                <w:sz w:val="18"/>
                <w:lang w:val="en-GB"/>
              </w:rPr>
              <w:t xml:space="preserve"> CP-OFDM due to beamforming</w:t>
            </w:r>
            <w:r w:rsidR="00E00F59" w:rsidRPr="008F19A7">
              <w:rPr>
                <w:sz w:val="18"/>
                <w:lang w:val="en-GB"/>
              </w:rPr>
              <w:t xml:space="preserve"> (optimistic CSI-Transmitter</w:t>
            </w:r>
            <w:r w:rsidR="008F19A7" w:rsidRPr="008F19A7">
              <w:rPr>
                <w:sz w:val="18"/>
                <w:lang w:val="en-GB"/>
              </w:rPr>
              <w:t xml:space="preserve"> knowledge</w:t>
            </w:r>
            <w:r w:rsidR="00E00F59" w:rsidRPr="008F19A7">
              <w:rPr>
                <w:sz w:val="18"/>
                <w:lang w:val="en-GB"/>
              </w:rPr>
              <w:t>)</w:t>
            </w:r>
          </w:p>
        </w:tc>
        <w:tc>
          <w:tcPr>
            <w:tcW w:w="2942" w:type="dxa"/>
            <w:vAlign w:val="center"/>
          </w:tcPr>
          <w:p w14:paraId="413C14D4" w14:textId="32A119AB" w:rsidR="00132698" w:rsidRPr="008F19A7" w:rsidRDefault="00132698" w:rsidP="005C65FA">
            <w:pPr>
              <w:jc w:val="center"/>
              <w:cnfStyle w:val="100000000000" w:firstRow="1" w:lastRow="0" w:firstColumn="0" w:lastColumn="0" w:oddVBand="0" w:evenVBand="0" w:oddHBand="0" w:evenHBand="0" w:firstRowFirstColumn="0" w:firstRowLastColumn="0" w:lastRowFirstColumn="0" w:lastRowLastColumn="0"/>
              <w:rPr>
                <w:sz w:val="18"/>
                <w:lang w:val="en-GB"/>
              </w:rPr>
            </w:pPr>
            <w:r w:rsidRPr="008F19A7">
              <w:rPr>
                <w:sz w:val="18"/>
                <w:lang w:val="en-GB"/>
              </w:rPr>
              <w:t>DFT-S-OFDM gain over CP-OFDM due to PA efficiency</w:t>
            </w:r>
          </w:p>
        </w:tc>
        <w:tc>
          <w:tcPr>
            <w:tcW w:w="2548" w:type="dxa"/>
            <w:vAlign w:val="center"/>
          </w:tcPr>
          <w:p w14:paraId="1DB1F3C6" w14:textId="32857DB9" w:rsidR="00132698" w:rsidRPr="008F19A7" w:rsidRDefault="00132698" w:rsidP="005C65FA">
            <w:pPr>
              <w:jc w:val="center"/>
              <w:cnfStyle w:val="100000000000" w:firstRow="1" w:lastRow="0" w:firstColumn="0" w:lastColumn="0" w:oddVBand="0" w:evenVBand="0" w:oddHBand="0" w:evenHBand="0" w:firstRowFirstColumn="0" w:firstRowLastColumn="0" w:lastRowFirstColumn="0" w:lastRowLastColumn="0"/>
              <w:rPr>
                <w:sz w:val="18"/>
                <w:lang w:val="en-GB"/>
              </w:rPr>
            </w:pPr>
            <w:r w:rsidRPr="008F19A7">
              <w:rPr>
                <w:sz w:val="18"/>
                <w:lang w:val="en-GB"/>
              </w:rPr>
              <w:t>Net gain of DFT-S-OFDM over CP-OFDM</w:t>
            </w:r>
          </w:p>
        </w:tc>
      </w:tr>
      <w:tr w:rsidR="00132698" w14:paraId="26B8F9BC" w14:textId="4EE1B504" w:rsidTr="005C65F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vAlign w:val="center"/>
          </w:tcPr>
          <w:p w14:paraId="1853C268" w14:textId="235C5A1A" w:rsidR="00132698" w:rsidRPr="008F19A7" w:rsidRDefault="00132698" w:rsidP="005C65FA">
            <w:pPr>
              <w:jc w:val="center"/>
              <w:rPr>
                <w:sz w:val="18"/>
                <w:lang w:val="en-GB"/>
              </w:rPr>
            </w:pPr>
            <w:r w:rsidRPr="008F19A7">
              <w:rPr>
                <w:sz w:val="18"/>
                <w:lang w:val="en-GB"/>
              </w:rPr>
              <w:t>TDL-C 300 nsec, 10 RB allocation</w:t>
            </w:r>
          </w:p>
        </w:tc>
        <w:tc>
          <w:tcPr>
            <w:tcW w:w="2970" w:type="dxa"/>
            <w:vAlign w:val="center"/>
          </w:tcPr>
          <w:p w14:paraId="6055CE32" w14:textId="33716AF8" w:rsidR="00132698" w:rsidRPr="00132698" w:rsidRDefault="00132698" w:rsidP="005C65FA">
            <w:pPr>
              <w:jc w:val="center"/>
              <w:cnfStyle w:val="000000100000" w:firstRow="0" w:lastRow="0" w:firstColumn="0" w:lastColumn="0" w:oddVBand="0" w:evenVBand="0" w:oddHBand="1" w:evenHBand="0" w:firstRowFirstColumn="0" w:firstRowLastColumn="0" w:lastRowFirstColumn="0" w:lastRowLastColumn="0"/>
              <w:rPr>
                <w:sz w:val="28"/>
                <w:lang w:val="en-GB"/>
              </w:rPr>
            </w:pPr>
            <w:r w:rsidRPr="00132698">
              <w:rPr>
                <w:sz w:val="28"/>
                <w:lang w:val="en-GB"/>
              </w:rPr>
              <w:t>-0.35 dB</w:t>
            </w:r>
          </w:p>
        </w:tc>
        <w:tc>
          <w:tcPr>
            <w:tcW w:w="2942" w:type="dxa"/>
            <w:vAlign w:val="center"/>
          </w:tcPr>
          <w:p w14:paraId="56D439C4" w14:textId="5CE4627B" w:rsidR="00132698" w:rsidRPr="00132698" w:rsidRDefault="00132698" w:rsidP="005C65FA">
            <w:pPr>
              <w:jc w:val="center"/>
              <w:cnfStyle w:val="000000100000" w:firstRow="0" w:lastRow="0" w:firstColumn="0" w:lastColumn="0" w:oddVBand="0" w:evenVBand="0" w:oddHBand="1" w:evenHBand="0" w:firstRowFirstColumn="0" w:firstRowLastColumn="0" w:lastRowFirstColumn="0" w:lastRowLastColumn="0"/>
              <w:rPr>
                <w:sz w:val="28"/>
                <w:lang w:val="en-GB"/>
              </w:rPr>
            </w:pPr>
            <w:r w:rsidRPr="00132698">
              <w:rPr>
                <w:sz w:val="28"/>
                <w:lang w:val="en-GB"/>
              </w:rPr>
              <w:t>2</w:t>
            </w:r>
            <w:r>
              <w:rPr>
                <w:sz w:val="28"/>
                <w:lang w:val="en-GB"/>
              </w:rPr>
              <w:t xml:space="preserve"> dB</w:t>
            </w:r>
          </w:p>
        </w:tc>
        <w:tc>
          <w:tcPr>
            <w:tcW w:w="2548" w:type="dxa"/>
            <w:vAlign w:val="center"/>
          </w:tcPr>
          <w:p w14:paraId="43EA3C3C" w14:textId="402A6DA3" w:rsidR="00132698" w:rsidRPr="005C65FA" w:rsidRDefault="00132698" w:rsidP="005C65FA">
            <w:pPr>
              <w:jc w:val="center"/>
              <w:cnfStyle w:val="000000100000" w:firstRow="0" w:lastRow="0" w:firstColumn="0" w:lastColumn="0" w:oddVBand="0" w:evenVBand="0" w:oddHBand="1" w:evenHBand="0" w:firstRowFirstColumn="0" w:firstRowLastColumn="0" w:lastRowFirstColumn="0" w:lastRowLastColumn="0"/>
              <w:rPr>
                <w:b/>
                <w:sz w:val="28"/>
                <w:lang w:val="en-GB"/>
              </w:rPr>
            </w:pPr>
            <w:r w:rsidRPr="005C65FA">
              <w:rPr>
                <w:b/>
                <w:sz w:val="28"/>
                <w:lang w:val="en-GB"/>
              </w:rPr>
              <w:t>1.65 dB</w:t>
            </w:r>
          </w:p>
        </w:tc>
      </w:tr>
      <w:tr w:rsidR="00132698" w14:paraId="7DF8503D" w14:textId="0C15A536" w:rsidTr="005C65FA">
        <w:trPr>
          <w:jc w:val="center"/>
        </w:trPr>
        <w:tc>
          <w:tcPr>
            <w:cnfStyle w:val="001000000000" w:firstRow="0" w:lastRow="0" w:firstColumn="1" w:lastColumn="0" w:oddVBand="0" w:evenVBand="0" w:oddHBand="0" w:evenHBand="0" w:firstRowFirstColumn="0" w:firstRowLastColumn="0" w:lastRowFirstColumn="0" w:lastRowLastColumn="0"/>
            <w:tcW w:w="1795" w:type="dxa"/>
            <w:vAlign w:val="center"/>
          </w:tcPr>
          <w:p w14:paraId="2151597F" w14:textId="02988613" w:rsidR="00132698" w:rsidRPr="008F19A7" w:rsidRDefault="00132698" w:rsidP="005C65FA">
            <w:pPr>
              <w:jc w:val="center"/>
              <w:rPr>
                <w:sz w:val="18"/>
                <w:lang w:val="en-GB"/>
              </w:rPr>
            </w:pPr>
            <w:r w:rsidRPr="008F19A7">
              <w:rPr>
                <w:sz w:val="18"/>
                <w:lang w:val="en-GB"/>
              </w:rPr>
              <w:t>TDL-C 100 nsec, 10 RB allocation</w:t>
            </w:r>
          </w:p>
        </w:tc>
        <w:tc>
          <w:tcPr>
            <w:tcW w:w="2970" w:type="dxa"/>
            <w:vAlign w:val="center"/>
          </w:tcPr>
          <w:p w14:paraId="48E31974" w14:textId="36BCE500" w:rsidR="00132698" w:rsidRPr="00132698" w:rsidRDefault="00132698" w:rsidP="005C65FA">
            <w:pPr>
              <w:jc w:val="center"/>
              <w:cnfStyle w:val="000000000000" w:firstRow="0" w:lastRow="0" w:firstColumn="0" w:lastColumn="0" w:oddVBand="0" w:evenVBand="0" w:oddHBand="0" w:evenHBand="0" w:firstRowFirstColumn="0" w:firstRowLastColumn="0" w:lastRowFirstColumn="0" w:lastRowLastColumn="0"/>
              <w:rPr>
                <w:sz w:val="28"/>
                <w:lang w:val="en-GB"/>
              </w:rPr>
            </w:pPr>
            <w:r w:rsidRPr="00132698">
              <w:rPr>
                <w:sz w:val="28"/>
                <w:lang w:val="en-GB"/>
              </w:rPr>
              <w:t>-0.15</w:t>
            </w:r>
            <w:r>
              <w:rPr>
                <w:sz w:val="28"/>
                <w:lang w:val="en-GB"/>
              </w:rPr>
              <w:t xml:space="preserve"> dB</w:t>
            </w:r>
          </w:p>
        </w:tc>
        <w:tc>
          <w:tcPr>
            <w:tcW w:w="2942" w:type="dxa"/>
            <w:vAlign w:val="center"/>
          </w:tcPr>
          <w:p w14:paraId="4B545972" w14:textId="241F3942" w:rsidR="00132698" w:rsidRPr="00132698" w:rsidRDefault="00132698" w:rsidP="005C65FA">
            <w:pPr>
              <w:jc w:val="center"/>
              <w:cnfStyle w:val="000000000000" w:firstRow="0" w:lastRow="0" w:firstColumn="0" w:lastColumn="0" w:oddVBand="0" w:evenVBand="0" w:oddHBand="0" w:evenHBand="0" w:firstRowFirstColumn="0" w:firstRowLastColumn="0" w:lastRowFirstColumn="0" w:lastRowLastColumn="0"/>
              <w:rPr>
                <w:sz w:val="28"/>
                <w:lang w:val="en-GB"/>
              </w:rPr>
            </w:pPr>
            <w:r w:rsidRPr="00132698">
              <w:rPr>
                <w:sz w:val="28"/>
                <w:lang w:val="en-GB"/>
              </w:rPr>
              <w:t>2</w:t>
            </w:r>
            <w:r>
              <w:rPr>
                <w:sz w:val="28"/>
                <w:lang w:val="en-GB"/>
              </w:rPr>
              <w:t xml:space="preserve"> dB</w:t>
            </w:r>
          </w:p>
        </w:tc>
        <w:tc>
          <w:tcPr>
            <w:tcW w:w="2548" w:type="dxa"/>
            <w:vAlign w:val="center"/>
          </w:tcPr>
          <w:p w14:paraId="356FD32C" w14:textId="7EB350A9" w:rsidR="00132698" w:rsidRPr="005C65FA" w:rsidRDefault="00132698" w:rsidP="005C65FA">
            <w:pPr>
              <w:jc w:val="center"/>
              <w:cnfStyle w:val="000000000000" w:firstRow="0" w:lastRow="0" w:firstColumn="0" w:lastColumn="0" w:oddVBand="0" w:evenVBand="0" w:oddHBand="0" w:evenHBand="0" w:firstRowFirstColumn="0" w:firstRowLastColumn="0" w:lastRowFirstColumn="0" w:lastRowLastColumn="0"/>
              <w:rPr>
                <w:b/>
                <w:sz w:val="28"/>
                <w:lang w:val="en-GB"/>
              </w:rPr>
            </w:pPr>
            <w:r w:rsidRPr="005C65FA">
              <w:rPr>
                <w:b/>
                <w:sz w:val="28"/>
                <w:lang w:val="en-GB"/>
              </w:rPr>
              <w:t>1.85 dB</w:t>
            </w:r>
          </w:p>
        </w:tc>
      </w:tr>
      <w:tr w:rsidR="00132698" w14:paraId="1D2D9D96" w14:textId="1E050E90" w:rsidTr="005C65F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vAlign w:val="center"/>
          </w:tcPr>
          <w:p w14:paraId="3A2B2E98" w14:textId="50D5185D" w:rsidR="00132698" w:rsidRPr="008F19A7" w:rsidRDefault="00132698" w:rsidP="005C65FA">
            <w:pPr>
              <w:jc w:val="center"/>
              <w:rPr>
                <w:sz w:val="18"/>
                <w:lang w:val="en-GB"/>
              </w:rPr>
            </w:pPr>
            <w:r w:rsidRPr="008F19A7">
              <w:rPr>
                <w:sz w:val="18"/>
                <w:lang w:val="en-GB"/>
              </w:rPr>
              <w:t>TDL-C 100 nsec, 6 RB allocation</w:t>
            </w:r>
          </w:p>
        </w:tc>
        <w:tc>
          <w:tcPr>
            <w:tcW w:w="2970" w:type="dxa"/>
            <w:vAlign w:val="center"/>
          </w:tcPr>
          <w:p w14:paraId="25A74F91" w14:textId="07AA023A" w:rsidR="00132698" w:rsidRPr="00132698" w:rsidRDefault="00132698" w:rsidP="005C65FA">
            <w:pPr>
              <w:jc w:val="center"/>
              <w:cnfStyle w:val="000000100000" w:firstRow="0" w:lastRow="0" w:firstColumn="0" w:lastColumn="0" w:oddVBand="0" w:evenVBand="0" w:oddHBand="1" w:evenHBand="0" w:firstRowFirstColumn="0" w:firstRowLastColumn="0" w:lastRowFirstColumn="0" w:lastRowLastColumn="0"/>
              <w:rPr>
                <w:sz w:val="28"/>
                <w:lang w:val="en-GB"/>
              </w:rPr>
            </w:pPr>
            <w:r w:rsidRPr="00132698">
              <w:rPr>
                <w:sz w:val="28"/>
                <w:lang w:val="en-GB"/>
              </w:rPr>
              <w:t>-0.05 dB</w:t>
            </w:r>
          </w:p>
        </w:tc>
        <w:tc>
          <w:tcPr>
            <w:tcW w:w="2942" w:type="dxa"/>
            <w:vAlign w:val="center"/>
          </w:tcPr>
          <w:p w14:paraId="1EA4390E" w14:textId="20241AA7" w:rsidR="00132698" w:rsidRPr="00132698" w:rsidRDefault="00132698" w:rsidP="005C65FA">
            <w:pPr>
              <w:jc w:val="center"/>
              <w:cnfStyle w:val="000000100000" w:firstRow="0" w:lastRow="0" w:firstColumn="0" w:lastColumn="0" w:oddVBand="0" w:evenVBand="0" w:oddHBand="1" w:evenHBand="0" w:firstRowFirstColumn="0" w:firstRowLastColumn="0" w:lastRowFirstColumn="0" w:lastRowLastColumn="0"/>
              <w:rPr>
                <w:sz w:val="28"/>
                <w:lang w:val="en-GB"/>
              </w:rPr>
            </w:pPr>
            <w:r w:rsidRPr="00132698">
              <w:rPr>
                <w:sz w:val="28"/>
                <w:lang w:val="en-GB"/>
              </w:rPr>
              <w:t>2 dB</w:t>
            </w:r>
          </w:p>
        </w:tc>
        <w:tc>
          <w:tcPr>
            <w:tcW w:w="2548" w:type="dxa"/>
            <w:vAlign w:val="center"/>
          </w:tcPr>
          <w:p w14:paraId="430C5A0B" w14:textId="4C2691C7" w:rsidR="00132698" w:rsidRPr="005C65FA" w:rsidRDefault="00132698" w:rsidP="005C65FA">
            <w:pPr>
              <w:jc w:val="center"/>
              <w:cnfStyle w:val="000000100000" w:firstRow="0" w:lastRow="0" w:firstColumn="0" w:lastColumn="0" w:oddVBand="0" w:evenVBand="0" w:oddHBand="1" w:evenHBand="0" w:firstRowFirstColumn="0" w:firstRowLastColumn="0" w:lastRowFirstColumn="0" w:lastRowLastColumn="0"/>
              <w:rPr>
                <w:b/>
                <w:sz w:val="28"/>
                <w:lang w:val="en-GB"/>
              </w:rPr>
            </w:pPr>
            <w:r w:rsidRPr="005C65FA">
              <w:rPr>
                <w:b/>
                <w:sz w:val="28"/>
                <w:lang w:val="en-GB"/>
              </w:rPr>
              <w:t>1.95 dB</w:t>
            </w:r>
          </w:p>
        </w:tc>
      </w:tr>
      <w:tr w:rsidR="00132698" w14:paraId="6A998935" w14:textId="4BE72685" w:rsidTr="005C65FA">
        <w:trPr>
          <w:jc w:val="center"/>
        </w:trPr>
        <w:tc>
          <w:tcPr>
            <w:cnfStyle w:val="001000000000" w:firstRow="0" w:lastRow="0" w:firstColumn="1" w:lastColumn="0" w:oddVBand="0" w:evenVBand="0" w:oddHBand="0" w:evenHBand="0" w:firstRowFirstColumn="0" w:firstRowLastColumn="0" w:lastRowFirstColumn="0" w:lastRowLastColumn="0"/>
            <w:tcW w:w="1795" w:type="dxa"/>
            <w:vAlign w:val="center"/>
          </w:tcPr>
          <w:p w14:paraId="7A03529D" w14:textId="39655D2A" w:rsidR="00132698" w:rsidRPr="008F19A7" w:rsidRDefault="00132698" w:rsidP="005C65FA">
            <w:pPr>
              <w:jc w:val="center"/>
              <w:rPr>
                <w:sz w:val="18"/>
                <w:lang w:val="en-GB"/>
              </w:rPr>
            </w:pPr>
            <w:r w:rsidRPr="008F19A7">
              <w:rPr>
                <w:sz w:val="18"/>
                <w:lang w:val="en-GB"/>
              </w:rPr>
              <w:t>TDL-C 300 nsec, 6 RB allocation</w:t>
            </w:r>
          </w:p>
        </w:tc>
        <w:tc>
          <w:tcPr>
            <w:tcW w:w="2970" w:type="dxa"/>
            <w:vAlign w:val="center"/>
          </w:tcPr>
          <w:p w14:paraId="6C854A0B" w14:textId="00B3DA18" w:rsidR="00132698" w:rsidRPr="00132698" w:rsidRDefault="00132698" w:rsidP="005C65FA">
            <w:pPr>
              <w:jc w:val="center"/>
              <w:cnfStyle w:val="000000000000" w:firstRow="0" w:lastRow="0" w:firstColumn="0" w:lastColumn="0" w:oddVBand="0" w:evenVBand="0" w:oddHBand="0" w:evenHBand="0" w:firstRowFirstColumn="0" w:firstRowLastColumn="0" w:lastRowFirstColumn="0" w:lastRowLastColumn="0"/>
              <w:rPr>
                <w:sz w:val="28"/>
                <w:lang w:val="en-GB"/>
              </w:rPr>
            </w:pPr>
            <w:r>
              <w:rPr>
                <w:sz w:val="28"/>
                <w:lang w:val="en-GB"/>
              </w:rPr>
              <w:t>-0.2 dB</w:t>
            </w:r>
          </w:p>
        </w:tc>
        <w:tc>
          <w:tcPr>
            <w:tcW w:w="2942" w:type="dxa"/>
            <w:vAlign w:val="center"/>
          </w:tcPr>
          <w:p w14:paraId="50766F52" w14:textId="0EC2894A" w:rsidR="00132698" w:rsidRPr="00132698" w:rsidRDefault="00132698" w:rsidP="005C65FA">
            <w:pPr>
              <w:jc w:val="center"/>
              <w:cnfStyle w:val="000000000000" w:firstRow="0" w:lastRow="0" w:firstColumn="0" w:lastColumn="0" w:oddVBand="0" w:evenVBand="0" w:oddHBand="0" w:evenHBand="0" w:firstRowFirstColumn="0" w:firstRowLastColumn="0" w:lastRowFirstColumn="0" w:lastRowLastColumn="0"/>
              <w:rPr>
                <w:sz w:val="28"/>
                <w:lang w:val="en-GB"/>
              </w:rPr>
            </w:pPr>
            <w:r>
              <w:rPr>
                <w:sz w:val="28"/>
                <w:lang w:val="en-GB"/>
              </w:rPr>
              <w:t>2 dB</w:t>
            </w:r>
          </w:p>
        </w:tc>
        <w:tc>
          <w:tcPr>
            <w:tcW w:w="2548" w:type="dxa"/>
            <w:vAlign w:val="center"/>
          </w:tcPr>
          <w:p w14:paraId="7DBDA3F0" w14:textId="581982B2" w:rsidR="00132698" w:rsidRPr="005C65FA" w:rsidRDefault="00132698" w:rsidP="005C65FA">
            <w:pPr>
              <w:jc w:val="center"/>
              <w:cnfStyle w:val="000000000000" w:firstRow="0" w:lastRow="0" w:firstColumn="0" w:lastColumn="0" w:oddVBand="0" w:evenVBand="0" w:oddHBand="0" w:evenHBand="0" w:firstRowFirstColumn="0" w:firstRowLastColumn="0" w:lastRowFirstColumn="0" w:lastRowLastColumn="0"/>
              <w:rPr>
                <w:b/>
                <w:sz w:val="28"/>
                <w:lang w:val="en-GB"/>
              </w:rPr>
            </w:pPr>
            <w:r w:rsidRPr="005C65FA">
              <w:rPr>
                <w:b/>
                <w:sz w:val="28"/>
                <w:lang w:val="en-GB"/>
              </w:rPr>
              <w:t>1.8 dB</w:t>
            </w:r>
          </w:p>
        </w:tc>
      </w:tr>
    </w:tbl>
    <w:p w14:paraId="3F607BEE" w14:textId="6311F26B" w:rsidR="007131D7" w:rsidRDefault="007131D7" w:rsidP="00C86EDA">
      <w:pPr>
        <w:rPr>
          <w:lang w:val="en-GB"/>
        </w:rPr>
      </w:pPr>
    </w:p>
    <w:p w14:paraId="420A7162" w14:textId="0CD70605" w:rsidR="00F47EA3" w:rsidRPr="00F47EA3" w:rsidRDefault="00F47EA3" w:rsidP="00F47EA3">
      <w:pPr>
        <w:jc w:val="both"/>
        <w:rPr>
          <w:b/>
          <w:i/>
        </w:rPr>
      </w:pPr>
      <w:r>
        <w:rPr>
          <w:b/>
          <w:i/>
          <w:u w:val="single"/>
        </w:rPr>
        <w:t>Observation 3:</w:t>
      </w:r>
      <w:r w:rsidRPr="00320371">
        <w:t xml:space="preserve"> </w:t>
      </w:r>
      <w:r>
        <w:t>The net gain for the link-budget limited (PA back-off and beamforming gain) users of DFT-S-OFDM with per-allocation beamforming versus CP-OFDM with per-RB beamforming is more than 1.65 dB in a variety of scenarios even for optimistic assumptions on the channel knowledge at the transmitter.</w:t>
      </w:r>
    </w:p>
    <w:p w14:paraId="130A289D" w14:textId="4B0F59F1" w:rsidR="00E168E5" w:rsidRDefault="006341FE" w:rsidP="00E168E5">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Conclusions</w:t>
      </w:r>
    </w:p>
    <w:bookmarkEnd w:id="3"/>
    <w:bookmarkEnd w:id="4"/>
    <w:bookmarkEnd w:id="5"/>
    <w:bookmarkEnd w:id="6"/>
    <w:bookmarkEnd w:id="7"/>
    <w:bookmarkEnd w:id="8"/>
    <w:bookmarkEnd w:id="9"/>
    <w:p w14:paraId="72B95BD9" w14:textId="790ADEF2" w:rsidR="00B04451" w:rsidRPr="00DF34C9" w:rsidRDefault="0024005D" w:rsidP="00507538">
      <w:pPr>
        <w:jc w:val="both"/>
        <w:rPr>
          <w:lang w:val="en-GB"/>
        </w:rPr>
      </w:pPr>
      <w:r>
        <w:rPr>
          <w:lang w:val="en-GB"/>
        </w:rPr>
        <w:t>We evaluated possible UL beamforming gains that a per-RB closed-loop precoding design could demonstrate over a per-allocation design for the cell-edge user. Even in the very optimistic simulation settings these gains appear small and cannot reduce the link budget advantage that a DFT-S-OFDM waveform would have over a CP-OFDM waveform.</w:t>
      </w:r>
    </w:p>
    <w:p w14:paraId="0200609E" w14:textId="1A154D2A" w:rsidR="001434D2" w:rsidRDefault="003A6666" w:rsidP="001434D2">
      <w:pPr>
        <w:jc w:val="both"/>
      </w:pPr>
      <w:r>
        <w:rPr>
          <w:b/>
          <w:i/>
          <w:u w:val="single"/>
        </w:rPr>
        <w:t>Observation 1:</w:t>
      </w:r>
      <w:r>
        <w:t xml:space="preserve"> </w:t>
      </w:r>
      <w:r w:rsidR="001434D2">
        <w:t xml:space="preserve">For link-budget limited </w:t>
      </w:r>
      <w:r w:rsidR="00C937CE">
        <w:t>users</w:t>
      </w:r>
      <w:r w:rsidR="001434D2">
        <w:t>, per-RB</w:t>
      </w:r>
      <w:r w:rsidR="00270DB5">
        <w:t xml:space="preserve"> svd-based</w:t>
      </w:r>
      <w:r w:rsidR="001434D2">
        <w:t xml:space="preserve"> frequency selective closed-loop UL beamforming </w:t>
      </w:r>
      <w:r w:rsidR="00F714CD">
        <w:t>cannot</w:t>
      </w:r>
      <w:r w:rsidR="001434D2">
        <w:t xml:space="preserve"> provide more than a </w:t>
      </w:r>
      <w:r w:rsidR="001C73A0">
        <w:t xml:space="preserve">small </w:t>
      </w:r>
      <w:r w:rsidR="001434D2">
        <w:t>fraction of dB beamforming gain</w:t>
      </w:r>
      <w:r w:rsidR="005868BE">
        <w:t xml:space="preserve"> (e.g., 0.1 - 0.35 dB)</w:t>
      </w:r>
      <w:r w:rsidR="001434D2">
        <w:t xml:space="preserve"> compared to a per-allocation closed-loop flat beamforming</w:t>
      </w:r>
      <w:r w:rsidR="00F714CD">
        <w:t xml:space="preserve"> </w:t>
      </w:r>
      <w:r w:rsidR="0024713E">
        <w:t>even for optimistic assumptions on the channel knowledge at the transmitter</w:t>
      </w:r>
      <w:r w:rsidR="00F714CD">
        <w:t>.</w:t>
      </w:r>
      <w:r w:rsidR="001434D2">
        <w:t xml:space="preserve"> </w:t>
      </w:r>
    </w:p>
    <w:p w14:paraId="09139F17" w14:textId="00F1065F" w:rsidR="007131D7" w:rsidRDefault="007131D7" w:rsidP="001434D2">
      <w:pPr>
        <w:jc w:val="both"/>
      </w:pPr>
      <w:r>
        <w:rPr>
          <w:b/>
          <w:i/>
          <w:u w:val="single"/>
        </w:rPr>
        <w:t>Observation 2:</w:t>
      </w:r>
      <w:r>
        <w:t xml:space="preserve"> For link-budget limited users, per-RB svd-based frequency selec</w:t>
      </w:r>
      <w:r w:rsidR="00D44852">
        <w:t xml:space="preserve">tive closed-loop UL beamforming </w:t>
      </w:r>
      <w:r>
        <w:t xml:space="preserve">can </w:t>
      </w:r>
      <w:r w:rsidR="00320371">
        <w:t>potentially</w:t>
      </w:r>
      <w:r>
        <w:t xml:space="preserve"> lead to smaller beamforming gain if there is a noisy channel knowledge at the transmitter compared to a per-allocation closed-loop UL beamforming.</w:t>
      </w:r>
    </w:p>
    <w:p w14:paraId="709290C4" w14:textId="362E028C" w:rsidR="00284D40" w:rsidRPr="001434D2" w:rsidRDefault="00284D40" w:rsidP="001434D2">
      <w:pPr>
        <w:jc w:val="both"/>
        <w:rPr>
          <w:b/>
          <w:i/>
        </w:rPr>
      </w:pPr>
      <w:r>
        <w:rPr>
          <w:b/>
          <w:i/>
          <w:u w:val="single"/>
        </w:rPr>
        <w:t xml:space="preserve">Observation </w:t>
      </w:r>
      <w:r w:rsidR="00320371">
        <w:rPr>
          <w:b/>
          <w:i/>
          <w:u w:val="single"/>
        </w:rPr>
        <w:t>3:</w:t>
      </w:r>
      <w:r w:rsidR="00320371" w:rsidRPr="00320371">
        <w:t xml:space="preserve"> </w:t>
      </w:r>
      <w:r w:rsidR="00320371">
        <w:t>The net gain for the link-budget limited</w:t>
      </w:r>
      <w:r w:rsidR="007E0922">
        <w:t xml:space="preserve"> (P</w:t>
      </w:r>
      <w:r w:rsidR="00923557">
        <w:t>A back-off and beamforming gain</w:t>
      </w:r>
      <w:r w:rsidR="007E0922">
        <w:t>)</w:t>
      </w:r>
      <w:r w:rsidR="00320371">
        <w:t xml:space="preserve"> users of DFT-S-OFDM with per-allocation beamforming versus CP-OFDM with per-RB beamforming is more than 1.65 dB in a variety of scenarios even for optimistic assumptions on the channel knowledge at the transmitter.</w:t>
      </w:r>
    </w:p>
    <w:p w14:paraId="26881B4C" w14:textId="77777777" w:rsidR="00E523F3" w:rsidRPr="000A64D8" w:rsidRDefault="00E523F3" w:rsidP="00E523F3">
      <w:pPr>
        <w:pStyle w:val="Heading1"/>
        <w:rPr>
          <w:lang w:val="en-US"/>
        </w:rPr>
      </w:pPr>
      <w:r w:rsidRPr="000A64D8">
        <w:rPr>
          <w:lang w:val="en-US"/>
        </w:rPr>
        <w:t>References</w:t>
      </w:r>
    </w:p>
    <w:p w14:paraId="62EC38A7" w14:textId="2191A42F" w:rsidR="00DC5DBA" w:rsidRDefault="00DC5DBA" w:rsidP="00A337E6">
      <w:pPr>
        <w:pStyle w:val="ListParagraph"/>
        <w:numPr>
          <w:ilvl w:val="0"/>
          <w:numId w:val="2"/>
        </w:numPr>
        <w:rPr>
          <w:rFonts w:ascii="Times New Roman" w:eastAsia="SimSun" w:hAnsi="Times New Roman"/>
          <w:sz w:val="20"/>
        </w:rPr>
      </w:pPr>
      <w:bookmarkStart w:id="10" w:name="_Ref461383190"/>
      <w:bookmarkStart w:id="11" w:name="_Ref457730460"/>
      <w:bookmarkStart w:id="12" w:name="_Ref450735844"/>
      <w:bookmarkStart w:id="13" w:name="_Ref450342757"/>
      <w:r>
        <w:rPr>
          <w:rFonts w:ascii="Times New Roman" w:eastAsia="SimSun" w:hAnsi="Times New Roman"/>
          <w:sz w:val="20"/>
        </w:rPr>
        <w:t>3GPP RAN1_86 “Chairman’s Notes RAN1_86 - final”, Gothenburg, August 2016.</w:t>
      </w:r>
      <w:bookmarkEnd w:id="10"/>
    </w:p>
    <w:p w14:paraId="5031CCFB" w14:textId="2F6FC532" w:rsidR="00DC5DBA" w:rsidRDefault="00DC5DBA" w:rsidP="007C6FFC">
      <w:pPr>
        <w:pStyle w:val="ListParagraph"/>
        <w:numPr>
          <w:ilvl w:val="0"/>
          <w:numId w:val="2"/>
        </w:numPr>
        <w:jc w:val="both"/>
        <w:rPr>
          <w:rFonts w:ascii="Times New Roman" w:eastAsia="SimSun" w:hAnsi="Times New Roman"/>
          <w:sz w:val="20"/>
        </w:rPr>
      </w:pPr>
      <w:bookmarkStart w:id="14" w:name="_Ref461382711"/>
      <w:r>
        <w:rPr>
          <w:rFonts w:ascii="Times New Roman" w:eastAsia="SimSun" w:hAnsi="Times New Roman"/>
          <w:sz w:val="20"/>
        </w:rPr>
        <w:lastRenderedPageBreak/>
        <w:t>3GPP R1-</w:t>
      </w:r>
      <w:r w:rsidR="005A1014">
        <w:rPr>
          <w:rFonts w:ascii="Times New Roman" w:eastAsia="SimSun" w:hAnsi="Times New Roman"/>
          <w:sz w:val="20"/>
        </w:rPr>
        <w:t xml:space="preserve">167963 “Way forward on waveform”, </w:t>
      </w:r>
      <w:r w:rsidR="005A1014" w:rsidRPr="005A1014">
        <w:rPr>
          <w:rFonts w:ascii="Times New Roman" w:eastAsia="SimSun" w:hAnsi="Times New Roman"/>
          <w:sz w:val="20"/>
        </w:rPr>
        <w:t>Huawei, HiSilicon, NTT DOCOMO, Nokia, ASB, Ericsson, Qualcomm, China Unicom, CATT, Samsung, CATR, Vodafone, InterDigital, LG Electronics, Softbank, Deutsche Telekom</w:t>
      </w:r>
      <w:bookmarkEnd w:id="14"/>
    </w:p>
    <w:p w14:paraId="6AB0A7CD" w14:textId="157AAA90" w:rsidR="007C6FFC" w:rsidRDefault="007C6FFC" w:rsidP="007C6FFC">
      <w:pPr>
        <w:pStyle w:val="ListParagraph"/>
        <w:numPr>
          <w:ilvl w:val="0"/>
          <w:numId w:val="2"/>
        </w:numPr>
        <w:jc w:val="both"/>
        <w:rPr>
          <w:rFonts w:ascii="Times New Roman" w:eastAsia="SimSun" w:hAnsi="Times New Roman"/>
          <w:sz w:val="20"/>
        </w:rPr>
      </w:pPr>
      <w:bookmarkStart w:id="15" w:name="_Ref461383193"/>
      <w:r>
        <w:rPr>
          <w:rFonts w:ascii="Times New Roman" w:eastAsia="SimSun" w:hAnsi="Times New Roman"/>
          <w:sz w:val="20"/>
        </w:rPr>
        <w:t>3GPP R1-168051</w:t>
      </w:r>
      <w:r w:rsidR="001D27F9">
        <w:rPr>
          <w:rFonts w:ascii="Times New Roman" w:eastAsia="SimSun" w:hAnsi="Times New Roman"/>
          <w:sz w:val="20"/>
        </w:rPr>
        <w:t xml:space="preserve"> “</w:t>
      </w:r>
      <w:r w:rsidRPr="007C6FFC">
        <w:rPr>
          <w:rFonts w:ascii="Times New Roman" w:eastAsia="SimSun" w:hAnsi="Times New Roman"/>
          <w:sz w:val="20"/>
        </w:rPr>
        <w:t>WF on Low PAPR Techniques for NR Uplink</w:t>
      </w:r>
      <w:r w:rsidR="001D27F9">
        <w:rPr>
          <w:rFonts w:ascii="Times New Roman" w:eastAsia="SimSun" w:hAnsi="Times New Roman"/>
          <w:sz w:val="20"/>
        </w:rPr>
        <w:t xml:space="preserve">”, </w:t>
      </w:r>
      <w:r w:rsidRPr="007C6FFC">
        <w:rPr>
          <w:rFonts w:ascii="Times New Roman" w:eastAsia="SimSun" w:hAnsi="Times New Roman"/>
          <w:sz w:val="20"/>
        </w:rPr>
        <w:t xml:space="preserve"> Qualcomm Inc., Samsung, MediaTek, Interdigital, Idaho National Lab, IITH, CEWiT, Reliance-jio, Tejas Networks, Oppo, Vodafone, Straightpath, LG Electronics, National Taiwan University, [AT&amp;T], Verizon Wireless, National Instrument, Spreadtrum</w:t>
      </w:r>
      <w:r>
        <w:rPr>
          <w:rFonts w:ascii="Times New Roman" w:eastAsia="SimSun" w:hAnsi="Times New Roman"/>
          <w:sz w:val="20"/>
        </w:rPr>
        <w:t>, ZTE, ZTE Microelectronics.</w:t>
      </w:r>
      <w:bookmarkEnd w:id="15"/>
    </w:p>
    <w:p w14:paraId="7C6A48DE" w14:textId="2CE7ED79" w:rsidR="001D27F9" w:rsidRDefault="001D27F9" w:rsidP="001D27F9">
      <w:pPr>
        <w:pStyle w:val="ListParagraph"/>
        <w:numPr>
          <w:ilvl w:val="0"/>
          <w:numId w:val="2"/>
        </w:numPr>
        <w:rPr>
          <w:rFonts w:ascii="Times New Roman" w:eastAsia="SimSun" w:hAnsi="Times New Roman"/>
          <w:sz w:val="20"/>
        </w:rPr>
      </w:pPr>
      <w:bookmarkStart w:id="16" w:name="_Ref462746119"/>
      <w:r>
        <w:rPr>
          <w:rFonts w:ascii="Times New Roman" w:eastAsia="SimSun" w:hAnsi="Times New Roman"/>
          <w:sz w:val="20"/>
        </w:rPr>
        <w:t>3GPP R1-</w:t>
      </w:r>
      <w:r w:rsidRPr="001D27F9">
        <w:rPr>
          <w:rFonts w:ascii="Times New Roman" w:eastAsia="SimSun" w:hAnsi="Times New Roman"/>
          <w:sz w:val="20"/>
        </w:rPr>
        <w:t>168422</w:t>
      </w:r>
      <w:r w:rsidRPr="001D27F9">
        <w:rPr>
          <w:rFonts w:ascii="Times New Roman" w:eastAsia="SimSun" w:hAnsi="Times New Roman"/>
          <w:sz w:val="20"/>
        </w:rPr>
        <w:tab/>
      </w:r>
      <w:r>
        <w:rPr>
          <w:rFonts w:ascii="Times New Roman" w:eastAsia="SimSun" w:hAnsi="Times New Roman"/>
          <w:sz w:val="20"/>
        </w:rPr>
        <w:t>“</w:t>
      </w:r>
      <w:r w:rsidRPr="001D27F9">
        <w:rPr>
          <w:rFonts w:ascii="Times New Roman" w:eastAsia="SimSun" w:hAnsi="Times New Roman"/>
          <w:sz w:val="20"/>
        </w:rPr>
        <w:t>WF on low-PAPR/CM technique</w:t>
      </w:r>
      <w:r>
        <w:rPr>
          <w:rFonts w:ascii="Times New Roman" w:eastAsia="SimSun" w:hAnsi="Times New Roman"/>
          <w:sz w:val="20"/>
        </w:rPr>
        <w:t xml:space="preserve">”, </w:t>
      </w:r>
      <w:r w:rsidRPr="001D27F9">
        <w:rPr>
          <w:rFonts w:ascii="Times New Roman" w:eastAsia="SimSun" w:hAnsi="Times New Roman"/>
          <w:sz w:val="20"/>
        </w:rPr>
        <w:t>Ericsson, Huawei, Panasonic, Vodafone, Qualcomm, ZTE, ZTE Microelectronics</w:t>
      </w:r>
      <w:r>
        <w:rPr>
          <w:rFonts w:ascii="Times New Roman" w:eastAsia="SimSun" w:hAnsi="Times New Roman"/>
          <w:sz w:val="20"/>
        </w:rPr>
        <w:t>.</w:t>
      </w:r>
      <w:bookmarkEnd w:id="16"/>
    </w:p>
    <w:p w14:paraId="7F8864F5" w14:textId="66743E5E" w:rsidR="000B1CDB" w:rsidRDefault="00420048" w:rsidP="007C339F">
      <w:pPr>
        <w:pStyle w:val="ListParagraph"/>
        <w:numPr>
          <w:ilvl w:val="0"/>
          <w:numId w:val="2"/>
        </w:numPr>
        <w:rPr>
          <w:rFonts w:ascii="Times New Roman" w:eastAsia="SimSun" w:hAnsi="Times New Roman"/>
          <w:sz w:val="20"/>
        </w:rPr>
      </w:pPr>
      <w:bookmarkStart w:id="17" w:name="_Ref462844531"/>
      <w:r>
        <w:rPr>
          <w:rFonts w:ascii="Times New Roman" w:eastAsia="SimSun" w:hAnsi="Times New Roman"/>
          <w:sz w:val="20"/>
        </w:rPr>
        <w:t>3GPP R1-</w:t>
      </w:r>
      <w:r w:rsidR="00D25651" w:rsidRPr="00D25651">
        <w:rPr>
          <w:rFonts w:ascii="Times New Roman" w:eastAsia="SimSun" w:hAnsi="Times New Roman"/>
          <w:sz w:val="20"/>
        </w:rPr>
        <w:t>1610111</w:t>
      </w:r>
      <w:r>
        <w:rPr>
          <w:rFonts w:ascii="Times New Roman" w:eastAsia="SimSun" w:hAnsi="Times New Roman"/>
          <w:sz w:val="20"/>
        </w:rPr>
        <w:t xml:space="preserve"> “</w:t>
      </w:r>
      <w:r w:rsidR="00A649DC" w:rsidRPr="00A649DC">
        <w:rPr>
          <w:rFonts w:ascii="Times New Roman" w:eastAsia="SimSun" w:hAnsi="Times New Roman"/>
          <w:sz w:val="20"/>
        </w:rPr>
        <w:t>Phase I Waveform proposal: CP-OFDM plus DFT-s-OFDM</w:t>
      </w:r>
      <w:r>
        <w:rPr>
          <w:rFonts w:ascii="Times New Roman" w:eastAsia="SimSun" w:hAnsi="Times New Roman"/>
          <w:sz w:val="20"/>
        </w:rPr>
        <w:t>”, Qualcomm, 3GPP RAN1#86b, Lisbon</w:t>
      </w:r>
      <w:bookmarkEnd w:id="11"/>
      <w:bookmarkEnd w:id="12"/>
      <w:bookmarkEnd w:id="13"/>
      <w:bookmarkEnd w:id="17"/>
      <w:r w:rsidR="00D25651">
        <w:rPr>
          <w:rFonts w:ascii="Times New Roman" w:eastAsia="SimSun" w:hAnsi="Times New Roman"/>
          <w:sz w:val="20"/>
        </w:rPr>
        <w:t>, 2016</w:t>
      </w:r>
    </w:p>
    <w:p w14:paraId="193132F8" w14:textId="2B0A4658" w:rsidR="00B34967" w:rsidRPr="007C339F" w:rsidRDefault="00B34967" w:rsidP="007C339F">
      <w:pPr>
        <w:pStyle w:val="ListParagraph"/>
        <w:numPr>
          <w:ilvl w:val="0"/>
          <w:numId w:val="2"/>
        </w:numPr>
        <w:rPr>
          <w:rFonts w:ascii="Times New Roman" w:eastAsia="SimSun" w:hAnsi="Times New Roman"/>
          <w:sz w:val="20"/>
        </w:rPr>
      </w:pPr>
      <w:r w:rsidRPr="00B34967">
        <w:rPr>
          <w:rFonts w:ascii="Times New Roman" w:eastAsia="SimSun" w:hAnsi="Times New Roman"/>
          <w:sz w:val="20"/>
        </w:rPr>
        <w:t>3GPP R1-1610113 “Coverage analysis of DFT-S-OFDM and OFDM with low PAPR techniques”, Qualcomm, 3GPP RAN1#86b, Lisbon, 2016.</w:t>
      </w:r>
    </w:p>
    <w:sectPr w:rsidR="00B34967" w:rsidRPr="007C339F"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3BBE8" w14:textId="77777777" w:rsidR="003B125F" w:rsidRDefault="003B125F">
      <w:r>
        <w:separator/>
      </w:r>
    </w:p>
  </w:endnote>
  <w:endnote w:type="continuationSeparator" w:id="0">
    <w:p w14:paraId="3B147A14" w14:textId="77777777" w:rsidR="003B125F" w:rsidRDefault="003B125F">
      <w:r>
        <w:continuationSeparator/>
      </w:r>
    </w:p>
  </w:endnote>
  <w:endnote w:type="continuationNotice" w:id="1">
    <w:p w14:paraId="503A2779" w14:textId="77777777" w:rsidR="003B125F" w:rsidRDefault="003B12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3B125F" w:rsidRDefault="003B125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3B125F" w:rsidRDefault="003B125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3B125F" w:rsidRDefault="003B125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0799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0799D">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2210F" w14:textId="77777777" w:rsidR="003B125F" w:rsidRDefault="003B125F">
      <w:r>
        <w:separator/>
      </w:r>
    </w:p>
  </w:footnote>
  <w:footnote w:type="continuationSeparator" w:id="0">
    <w:p w14:paraId="7C801569" w14:textId="77777777" w:rsidR="003B125F" w:rsidRDefault="003B125F">
      <w:r>
        <w:continuationSeparator/>
      </w:r>
    </w:p>
  </w:footnote>
  <w:footnote w:type="continuationNotice" w:id="1">
    <w:p w14:paraId="31D7A46D" w14:textId="77777777" w:rsidR="003B125F" w:rsidRDefault="003B125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3B125F" w:rsidRDefault="003B125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75pt;height:15.75pt" o:bullet="t">
        <v:imagedata r:id="rId1" o:title="artD914"/>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9D2EDE"/>
    <w:multiLevelType w:val="hybridMultilevel"/>
    <w:tmpl w:val="4ABA4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AF6ECD"/>
    <w:multiLevelType w:val="hybridMultilevel"/>
    <w:tmpl w:val="79E6E5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A06CA0"/>
    <w:multiLevelType w:val="hybridMultilevel"/>
    <w:tmpl w:val="BED4554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EE48E3E0">
      <w:start w:val="3516"/>
      <w:numFmt w:val="bullet"/>
      <w:lvlText w:val="–"/>
      <w:lvlJc w:val="left"/>
      <w:pPr>
        <w:tabs>
          <w:tab w:val="num" w:pos="2160"/>
        </w:tabs>
        <w:ind w:left="2160" w:hanging="360"/>
      </w:pPr>
      <w:rPr>
        <w:rFonts w:ascii="Arial" w:hAnsi="Arial" w:cs="Times New Roman"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40D5DCC"/>
    <w:multiLevelType w:val="hybridMultilevel"/>
    <w:tmpl w:val="39A61E7A"/>
    <w:lvl w:ilvl="0" w:tplc="AEA4343C">
      <w:start w:val="1"/>
      <w:numFmt w:val="bullet"/>
      <w:lvlText w:val="−"/>
      <w:lvlJc w:val="left"/>
      <w:pPr>
        <w:tabs>
          <w:tab w:val="num" w:pos="720"/>
        </w:tabs>
        <w:ind w:left="720" w:hanging="360"/>
      </w:pPr>
      <w:rPr>
        <w:rFonts w:ascii="Calibre Regular" w:hAnsi="Calibre Regular" w:hint="default"/>
      </w:rPr>
    </w:lvl>
    <w:lvl w:ilvl="1" w:tplc="32C284D8">
      <w:start w:val="1"/>
      <w:numFmt w:val="bullet"/>
      <w:lvlText w:val="−"/>
      <w:lvlJc w:val="left"/>
      <w:pPr>
        <w:tabs>
          <w:tab w:val="num" w:pos="1440"/>
        </w:tabs>
        <w:ind w:left="1440" w:hanging="360"/>
      </w:pPr>
      <w:rPr>
        <w:rFonts w:ascii="Calibre Regular" w:hAnsi="Calibre Regular" w:hint="default"/>
      </w:rPr>
    </w:lvl>
    <w:lvl w:ilvl="2" w:tplc="CA280A80" w:tentative="1">
      <w:start w:val="1"/>
      <w:numFmt w:val="bullet"/>
      <w:lvlText w:val="−"/>
      <w:lvlJc w:val="left"/>
      <w:pPr>
        <w:tabs>
          <w:tab w:val="num" w:pos="2160"/>
        </w:tabs>
        <w:ind w:left="2160" w:hanging="360"/>
      </w:pPr>
      <w:rPr>
        <w:rFonts w:ascii="Calibre Regular" w:hAnsi="Calibre Regular" w:hint="default"/>
      </w:rPr>
    </w:lvl>
    <w:lvl w:ilvl="3" w:tplc="38848FDA" w:tentative="1">
      <w:start w:val="1"/>
      <w:numFmt w:val="bullet"/>
      <w:lvlText w:val="−"/>
      <w:lvlJc w:val="left"/>
      <w:pPr>
        <w:tabs>
          <w:tab w:val="num" w:pos="2880"/>
        </w:tabs>
        <w:ind w:left="2880" w:hanging="360"/>
      </w:pPr>
      <w:rPr>
        <w:rFonts w:ascii="Calibre Regular" w:hAnsi="Calibre Regular" w:hint="default"/>
      </w:rPr>
    </w:lvl>
    <w:lvl w:ilvl="4" w:tplc="251E7CCA" w:tentative="1">
      <w:start w:val="1"/>
      <w:numFmt w:val="bullet"/>
      <w:lvlText w:val="−"/>
      <w:lvlJc w:val="left"/>
      <w:pPr>
        <w:tabs>
          <w:tab w:val="num" w:pos="3600"/>
        </w:tabs>
        <w:ind w:left="3600" w:hanging="360"/>
      </w:pPr>
      <w:rPr>
        <w:rFonts w:ascii="Calibre Regular" w:hAnsi="Calibre Regular" w:hint="default"/>
      </w:rPr>
    </w:lvl>
    <w:lvl w:ilvl="5" w:tplc="DCEE47F8" w:tentative="1">
      <w:start w:val="1"/>
      <w:numFmt w:val="bullet"/>
      <w:lvlText w:val="−"/>
      <w:lvlJc w:val="left"/>
      <w:pPr>
        <w:tabs>
          <w:tab w:val="num" w:pos="4320"/>
        </w:tabs>
        <w:ind w:left="4320" w:hanging="360"/>
      </w:pPr>
      <w:rPr>
        <w:rFonts w:ascii="Calibre Regular" w:hAnsi="Calibre Regular" w:hint="default"/>
      </w:rPr>
    </w:lvl>
    <w:lvl w:ilvl="6" w:tplc="8B281DAE" w:tentative="1">
      <w:start w:val="1"/>
      <w:numFmt w:val="bullet"/>
      <w:lvlText w:val="−"/>
      <w:lvlJc w:val="left"/>
      <w:pPr>
        <w:tabs>
          <w:tab w:val="num" w:pos="5040"/>
        </w:tabs>
        <w:ind w:left="5040" w:hanging="360"/>
      </w:pPr>
      <w:rPr>
        <w:rFonts w:ascii="Calibre Regular" w:hAnsi="Calibre Regular" w:hint="default"/>
      </w:rPr>
    </w:lvl>
    <w:lvl w:ilvl="7" w:tplc="24EAA576" w:tentative="1">
      <w:start w:val="1"/>
      <w:numFmt w:val="bullet"/>
      <w:lvlText w:val="−"/>
      <w:lvlJc w:val="left"/>
      <w:pPr>
        <w:tabs>
          <w:tab w:val="num" w:pos="5760"/>
        </w:tabs>
        <w:ind w:left="5760" w:hanging="360"/>
      </w:pPr>
      <w:rPr>
        <w:rFonts w:ascii="Calibre Regular" w:hAnsi="Calibre Regular" w:hint="default"/>
      </w:rPr>
    </w:lvl>
    <w:lvl w:ilvl="8" w:tplc="220EBABC" w:tentative="1">
      <w:start w:val="1"/>
      <w:numFmt w:val="bullet"/>
      <w:lvlText w:val="−"/>
      <w:lvlJc w:val="left"/>
      <w:pPr>
        <w:tabs>
          <w:tab w:val="num" w:pos="6480"/>
        </w:tabs>
        <w:ind w:left="6480" w:hanging="360"/>
      </w:pPr>
      <w:rPr>
        <w:rFonts w:ascii="Calibre Regular" w:hAnsi="Calibre Regular" w:hint="default"/>
      </w:rPr>
    </w:lvl>
  </w:abstractNum>
  <w:abstractNum w:abstractNumId="23" w15:restartNumberingAfterBreak="0">
    <w:nsid w:val="4E710CCF"/>
    <w:multiLevelType w:val="hybridMultilevel"/>
    <w:tmpl w:val="86D62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4B7096"/>
    <w:multiLevelType w:val="hybridMultilevel"/>
    <w:tmpl w:val="D1DC8092"/>
    <w:lvl w:ilvl="0" w:tplc="D386662E">
      <w:start w:val="1"/>
      <w:numFmt w:val="bullet"/>
      <w:lvlText w:val=""/>
      <w:lvlPicBulletId w:val="0"/>
      <w:lvlJc w:val="left"/>
      <w:pPr>
        <w:tabs>
          <w:tab w:val="num" w:pos="720"/>
        </w:tabs>
        <w:ind w:left="720" w:hanging="360"/>
      </w:pPr>
      <w:rPr>
        <w:rFonts w:ascii="Symbol" w:hAnsi="Symbol" w:hint="default"/>
      </w:rPr>
    </w:lvl>
    <w:lvl w:ilvl="1" w:tplc="812839A0">
      <w:start w:val="47"/>
      <w:numFmt w:val="bullet"/>
      <w:lvlText w:val="−"/>
      <w:lvlJc w:val="left"/>
      <w:pPr>
        <w:tabs>
          <w:tab w:val="num" w:pos="1440"/>
        </w:tabs>
        <w:ind w:left="1440" w:hanging="360"/>
      </w:pPr>
      <w:rPr>
        <w:rFonts w:ascii="Calibre Regular" w:hAnsi="Calibre Regular" w:hint="default"/>
      </w:rPr>
    </w:lvl>
    <w:lvl w:ilvl="2" w:tplc="FAF2990C" w:tentative="1">
      <w:start w:val="1"/>
      <w:numFmt w:val="bullet"/>
      <w:lvlText w:val=""/>
      <w:lvlPicBulletId w:val="0"/>
      <w:lvlJc w:val="left"/>
      <w:pPr>
        <w:tabs>
          <w:tab w:val="num" w:pos="2160"/>
        </w:tabs>
        <w:ind w:left="2160" w:hanging="360"/>
      </w:pPr>
      <w:rPr>
        <w:rFonts w:ascii="Symbol" w:hAnsi="Symbol" w:hint="default"/>
      </w:rPr>
    </w:lvl>
    <w:lvl w:ilvl="3" w:tplc="099C13E4" w:tentative="1">
      <w:start w:val="1"/>
      <w:numFmt w:val="bullet"/>
      <w:lvlText w:val=""/>
      <w:lvlPicBulletId w:val="0"/>
      <w:lvlJc w:val="left"/>
      <w:pPr>
        <w:tabs>
          <w:tab w:val="num" w:pos="2880"/>
        </w:tabs>
        <w:ind w:left="2880" w:hanging="360"/>
      </w:pPr>
      <w:rPr>
        <w:rFonts w:ascii="Symbol" w:hAnsi="Symbol" w:hint="default"/>
      </w:rPr>
    </w:lvl>
    <w:lvl w:ilvl="4" w:tplc="617688B2" w:tentative="1">
      <w:start w:val="1"/>
      <w:numFmt w:val="bullet"/>
      <w:lvlText w:val=""/>
      <w:lvlPicBulletId w:val="0"/>
      <w:lvlJc w:val="left"/>
      <w:pPr>
        <w:tabs>
          <w:tab w:val="num" w:pos="3600"/>
        </w:tabs>
        <w:ind w:left="3600" w:hanging="360"/>
      </w:pPr>
      <w:rPr>
        <w:rFonts w:ascii="Symbol" w:hAnsi="Symbol" w:hint="default"/>
      </w:rPr>
    </w:lvl>
    <w:lvl w:ilvl="5" w:tplc="976C7246" w:tentative="1">
      <w:start w:val="1"/>
      <w:numFmt w:val="bullet"/>
      <w:lvlText w:val=""/>
      <w:lvlPicBulletId w:val="0"/>
      <w:lvlJc w:val="left"/>
      <w:pPr>
        <w:tabs>
          <w:tab w:val="num" w:pos="4320"/>
        </w:tabs>
        <w:ind w:left="4320" w:hanging="360"/>
      </w:pPr>
      <w:rPr>
        <w:rFonts w:ascii="Symbol" w:hAnsi="Symbol" w:hint="default"/>
      </w:rPr>
    </w:lvl>
    <w:lvl w:ilvl="6" w:tplc="6C0A3786" w:tentative="1">
      <w:start w:val="1"/>
      <w:numFmt w:val="bullet"/>
      <w:lvlText w:val=""/>
      <w:lvlPicBulletId w:val="0"/>
      <w:lvlJc w:val="left"/>
      <w:pPr>
        <w:tabs>
          <w:tab w:val="num" w:pos="5040"/>
        </w:tabs>
        <w:ind w:left="5040" w:hanging="360"/>
      </w:pPr>
      <w:rPr>
        <w:rFonts w:ascii="Symbol" w:hAnsi="Symbol" w:hint="default"/>
      </w:rPr>
    </w:lvl>
    <w:lvl w:ilvl="7" w:tplc="5A2E29DA" w:tentative="1">
      <w:start w:val="1"/>
      <w:numFmt w:val="bullet"/>
      <w:lvlText w:val=""/>
      <w:lvlPicBulletId w:val="0"/>
      <w:lvlJc w:val="left"/>
      <w:pPr>
        <w:tabs>
          <w:tab w:val="num" w:pos="5760"/>
        </w:tabs>
        <w:ind w:left="5760" w:hanging="360"/>
      </w:pPr>
      <w:rPr>
        <w:rFonts w:ascii="Symbol" w:hAnsi="Symbol" w:hint="default"/>
      </w:rPr>
    </w:lvl>
    <w:lvl w:ilvl="8" w:tplc="E88499A8"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2450A4"/>
    <w:multiLevelType w:val="hybridMultilevel"/>
    <w:tmpl w:val="EAC2AE60"/>
    <w:lvl w:ilvl="0" w:tplc="EE48E3E0">
      <w:start w:val="3516"/>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7E584277"/>
    <w:multiLevelType w:val="hybridMultilevel"/>
    <w:tmpl w:val="2A66F3B0"/>
    <w:lvl w:ilvl="0" w:tplc="4D784ED2">
      <w:start w:val="1"/>
      <w:numFmt w:val="bullet"/>
      <w:lvlText w:val="•"/>
      <w:lvlJc w:val="left"/>
      <w:pPr>
        <w:tabs>
          <w:tab w:val="num" w:pos="720"/>
        </w:tabs>
        <w:ind w:left="720" w:hanging="360"/>
      </w:pPr>
      <w:rPr>
        <w:rFonts w:ascii="Arial" w:hAnsi="Arial" w:hint="default"/>
      </w:rPr>
    </w:lvl>
    <w:lvl w:ilvl="1" w:tplc="646C1568">
      <w:start w:val="1"/>
      <w:numFmt w:val="bullet"/>
      <w:lvlText w:val="•"/>
      <w:lvlJc w:val="left"/>
      <w:pPr>
        <w:tabs>
          <w:tab w:val="num" w:pos="1440"/>
        </w:tabs>
        <w:ind w:left="1440" w:hanging="360"/>
      </w:pPr>
      <w:rPr>
        <w:rFonts w:ascii="Arial" w:hAnsi="Arial" w:hint="default"/>
      </w:rPr>
    </w:lvl>
    <w:lvl w:ilvl="2" w:tplc="B83A3716" w:tentative="1">
      <w:start w:val="1"/>
      <w:numFmt w:val="bullet"/>
      <w:lvlText w:val="•"/>
      <w:lvlJc w:val="left"/>
      <w:pPr>
        <w:tabs>
          <w:tab w:val="num" w:pos="2160"/>
        </w:tabs>
        <w:ind w:left="2160" w:hanging="360"/>
      </w:pPr>
      <w:rPr>
        <w:rFonts w:ascii="Arial" w:hAnsi="Arial" w:hint="default"/>
      </w:rPr>
    </w:lvl>
    <w:lvl w:ilvl="3" w:tplc="A6A0FAFE" w:tentative="1">
      <w:start w:val="1"/>
      <w:numFmt w:val="bullet"/>
      <w:lvlText w:val="•"/>
      <w:lvlJc w:val="left"/>
      <w:pPr>
        <w:tabs>
          <w:tab w:val="num" w:pos="2880"/>
        </w:tabs>
        <w:ind w:left="2880" w:hanging="360"/>
      </w:pPr>
      <w:rPr>
        <w:rFonts w:ascii="Arial" w:hAnsi="Arial" w:hint="default"/>
      </w:rPr>
    </w:lvl>
    <w:lvl w:ilvl="4" w:tplc="7B562794" w:tentative="1">
      <w:start w:val="1"/>
      <w:numFmt w:val="bullet"/>
      <w:lvlText w:val="•"/>
      <w:lvlJc w:val="left"/>
      <w:pPr>
        <w:tabs>
          <w:tab w:val="num" w:pos="3600"/>
        </w:tabs>
        <w:ind w:left="3600" w:hanging="360"/>
      </w:pPr>
      <w:rPr>
        <w:rFonts w:ascii="Arial" w:hAnsi="Arial" w:hint="default"/>
      </w:rPr>
    </w:lvl>
    <w:lvl w:ilvl="5" w:tplc="D4EE636E" w:tentative="1">
      <w:start w:val="1"/>
      <w:numFmt w:val="bullet"/>
      <w:lvlText w:val="•"/>
      <w:lvlJc w:val="left"/>
      <w:pPr>
        <w:tabs>
          <w:tab w:val="num" w:pos="4320"/>
        </w:tabs>
        <w:ind w:left="4320" w:hanging="360"/>
      </w:pPr>
      <w:rPr>
        <w:rFonts w:ascii="Arial" w:hAnsi="Arial" w:hint="default"/>
      </w:rPr>
    </w:lvl>
    <w:lvl w:ilvl="6" w:tplc="01E4DEA8" w:tentative="1">
      <w:start w:val="1"/>
      <w:numFmt w:val="bullet"/>
      <w:lvlText w:val="•"/>
      <w:lvlJc w:val="left"/>
      <w:pPr>
        <w:tabs>
          <w:tab w:val="num" w:pos="5040"/>
        </w:tabs>
        <w:ind w:left="5040" w:hanging="360"/>
      </w:pPr>
      <w:rPr>
        <w:rFonts w:ascii="Arial" w:hAnsi="Arial" w:hint="default"/>
      </w:rPr>
    </w:lvl>
    <w:lvl w:ilvl="7" w:tplc="6406D9AA" w:tentative="1">
      <w:start w:val="1"/>
      <w:numFmt w:val="bullet"/>
      <w:lvlText w:val="•"/>
      <w:lvlJc w:val="left"/>
      <w:pPr>
        <w:tabs>
          <w:tab w:val="num" w:pos="5760"/>
        </w:tabs>
        <w:ind w:left="5760" w:hanging="360"/>
      </w:pPr>
      <w:rPr>
        <w:rFonts w:ascii="Arial" w:hAnsi="Arial" w:hint="default"/>
      </w:rPr>
    </w:lvl>
    <w:lvl w:ilvl="8" w:tplc="05F4AB8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2A5372"/>
    <w:multiLevelType w:val="hybridMultilevel"/>
    <w:tmpl w:val="E998F8E0"/>
    <w:lvl w:ilvl="0" w:tplc="38FEE526">
      <w:start w:val="1"/>
      <w:numFmt w:val="bullet"/>
      <w:lvlText w:val=""/>
      <w:lvlPicBulletId w:val="0"/>
      <w:lvlJc w:val="left"/>
      <w:pPr>
        <w:tabs>
          <w:tab w:val="num" w:pos="720"/>
        </w:tabs>
        <w:ind w:left="720" w:hanging="360"/>
      </w:pPr>
      <w:rPr>
        <w:rFonts w:ascii="Symbol" w:hAnsi="Symbol" w:hint="default"/>
      </w:rPr>
    </w:lvl>
    <w:lvl w:ilvl="1" w:tplc="6ABC2F9E">
      <w:start w:val="47"/>
      <w:numFmt w:val="bullet"/>
      <w:lvlText w:val="−"/>
      <w:lvlJc w:val="left"/>
      <w:pPr>
        <w:tabs>
          <w:tab w:val="num" w:pos="1440"/>
        </w:tabs>
        <w:ind w:left="1440" w:hanging="360"/>
      </w:pPr>
      <w:rPr>
        <w:rFonts w:ascii="Calibre Regular" w:hAnsi="Calibre Regular" w:hint="default"/>
      </w:rPr>
    </w:lvl>
    <w:lvl w:ilvl="2" w:tplc="1AAA41CE">
      <w:start w:val="47"/>
      <w:numFmt w:val="bullet"/>
      <w:lvlText w:val="−"/>
      <w:lvlJc w:val="left"/>
      <w:pPr>
        <w:tabs>
          <w:tab w:val="num" w:pos="2160"/>
        </w:tabs>
        <w:ind w:left="2160" w:hanging="360"/>
      </w:pPr>
      <w:rPr>
        <w:rFonts w:ascii="Calibre Regular" w:hAnsi="Calibre Regular" w:hint="default"/>
      </w:rPr>
    </w:lvl>
    <w:lvl w:ilvl="3" w:tplc="CF9C448E" w:tentative="1">
      <w:start w:val="1"/>
      <w:numFmt w:val="bullet"/>
      <w:lvlText w:val=""/>
      <w:lvlPicBulletId w:val="0"/>
      <w:lvlJc w:val="left"/>
      <w:pPr>
        <w:tabs>
          <w:tab w:val="num" w:pos="2880"/>
        </w:tabs>
        <w:ind w:left="2880" w:hanging="360"/>
      </w:pPr>
      <w:rPr>
        <w:rFonts w:ascii="Symbol" w:hAnsi="Symbol" w:hint="default"/>
      </w:rPr>
    </w:lvl>
    <w:lvl w:ilvl="4" w:tplc="5008D420" w:tentative="1">
      <w:start w:val="1"/>
      <w:numFmt w:val="bullet"/>
      <w:lvlText w:val=""/>
      <w:lvlPicBulletId w:val="0"/>
      <w:lvlJc w:val="left"/>
      <w:pPr>
        <w:tabs>
          <w:tab w:val="num" w:pos="3600"/>
        </w:tabs>
        <w:ind w:left="3600" w:hanging="360"/>
      </w:pPr>
      <w:rPr>
        <w:rFonts w:ascii="Symbol" w:hAnsi="Symbol" w:hint="default"/>
      </w:rPr>
    </w:lvl>
    <w:lvl w:ilvl="5" w:tplc="72D6E1C8" w:tentative="1">
      <w:start w:val="1"/>
      <w:numFmt w:val="bullet"/>
      <w:lvlText w:val=""/>
      <w:lvlPicBulletId w:val="0"/>
      <w:lvlJc w:val="left"/>
      <w:pPr>
        <w:tabs>
          <w:tab w:val="num" w:pos="4320"/>
        </w:tabs>
        <w:ind w:left="4320" w:hanging="360"/>
      </w:pPr>
      <w:rPr>
        <w:rFonts w:ascii="Symbol" w:hAnsi="Symbol" w:hint="default"/>
      </w:rPr>
    </w:lvl>
    <w:lvl w:ilvl="6" w:tplc="6B04D832" w:tentative="1">
      <w:start w:val="1"/>
      <w:numFmt w:val="bullet"/>
      <w:lvlText w:val=""/>
      <w:lvlPicBulletId w:val="0"/>
      <w:lvlJc w:val="left"/>
      <w:pPr>
        <w:tabs>
          <w:tab w:val="num" w:pos="5040"/>
        </w:tabs>
        <w:ind w:left="5040" w:hanging="360"/>
      </w:pPr>
      <w:rPr>
        <w:rFonts w:ascii="Symbol" w:hAnsi="Symbol" w:hint="default"/>
      </w:rPr>
    </w:lvl>
    <w:lvl w:ilvl="7" w:tplc="7DE2DAEC" w:tentative="1">
      <w:start w:val="1"/>
      <w:numFmt w:val="bullet"/>
      <w:lvlText w:val=""/>
      <w:lvlPicBulletId w:val="0"/>
      <w:lvlJc w:val="left"/>
      <w:pPr>
        <w:tabs>
          <w:tab w:val="num" w:pos="5760"/>
        </w:tabs>
        <w:ind w:left="5760" w:hanging="360"/>
      </w:pPr>
      <w:rPr>
        <w:rFonts w:ascii="Symbol" w:hAnsi="Symbol" w:hint="default"/>
      </w:rPr>
    </w:lvl>
    <w:lvl w:ilvl="8" w:tplc="44F4D7D4" w:tentative="1">
      <w:start w:val="1"/>
      <w:numFmt w:val="bullet"/>
      <w:lvlText w:val=""/>
      <w:lvlPicBulletId w:val="0"/>
      <w:lvlJc w:val="left"/>
      <w:pPr>
        <w:tabs>
          <w:tab w:val="num" w:pos="6480"/>
        </w:tabs>
        <w:ind w:left="6480" w:hanging="360"/>
      </w:pPr>
      <w:rPr>
        <w:rFonts w:ascii="Symbol" w:hAnsi="Symbol" w:hint="default"/>
      </w:rPr>
    </w:lvl>
  </w:abstractNum>
  <w:num w:numId="1">
    <w:abstractNumId w:val="15"/>
  </w:num>
  <w:num w:numId="2">
    <w:abstractNumId w:val="0"/>
  </w:num>
  <w:num w:numId="3">
    <w:abstractNumId w:val="4"/>
  </w:num>
  <w:num w:numId="4">
    <w:abstractNumId w:val="21"/>
  </w:num>
  <w:num w:numId="5">
    <w:abstractNumId w:val="5"/>
  </w:num>
  <w:num w:numId="6">
    <w:abstractNumId w:val="7"/>
  </w:num>
  <w:num w:numId="7">
    <w:abstractNumId w:val="12"/>
  </w:num>
  <w:num w:numId="8">
    <w:abstractNumId w:val="1"/>
  </w:num>
  <w:num w:numId="9">
    <w:abstractNumId w:val="11"/>
  </w:num>
  <w:num w:numId="10">
    <w:abstractNumId w:val="17"/>
  </w:num>
  <w:num w:numId="11">
    <w:abstractNumId w:val="6"/>
  </w:num>
  <w:num w:numId="12">
    <w:abstractNumId w:val="28"/>
  </w:num>
  <w:num w:numId="13">
    <w:abstractNumId w:val="31"/>
  </w:num>
  <w:num w:numId="14">
    <w:abstractNumId w:val="13"/>
  </w:num>
  <w:num w:numId="15">
    <w:abstractNumId w:val="2"/>
  </w:num>
  <w:num w:numId="16">
    <w:abstractNumId w:val="24"/>
  </w:num>
  <w:num w:numId="17">
    <w:abstractNumId w:val="33"/>
  </w:num>
  <w:num w:numId="18">
    <w:abstractNumId w:val="30"/>
  </w:num>
  <w:num w:numId="19">
    <w:abstractNumId w:val="35"/>
  </w:num>
  <w:num w:numId="20">
    <w:abstractNumId w:val="27"/>
  </w:num>
  <w:num w:numId="21">
    <w:abstractNumId w:val="19"/>
  </w:num>
  <w:num w:numId="22">
    <w:abstractNumId w:val="26"/>
  </w:num>
  <w:num w:numId="23">
    <w:abstractNumId w:val="14"/>
  </w:num>
  <w:num w:numId="24">
    <w:abstractNumId w:val="29"/>
  </w:num>
  <w:num w:numId="25">
    <w:abstractNumId w:val="9"/>
  </w:num>
  <w:num w:numId="26">
    <w:abstractNumId w:val="3"/>
  </w:num>
  <w:num w:numId="27">
    <w:abstractNumId w:val="8"/>
  </w:num>
  <w:num w:numId="28">
    <w:abstractNumId w:val="16"/>
  </w:num>
  <w:num w:numId="29">
    <w:abstractNumId w:val="25"/>
  </w:num>
  <w:num w:numId="30">
    <w:abstractNumId w:val="20"/>
  </w:num>
  <w:num w:numId="31">
    <w:abstractNumId w:val="23"/>
  </w:num>
  <w:num w:numId="32">
    <w:abstractNumId w:val="18"/>
  </w:num>
  <w:num w:numId="33">
    <w:abstractNumId w:val="34"/>
  </w:num>
  <w:num w:numId="34">
    <w:abstractNumId w:val="32"/>
  </w:num>
  <w:num w:numId="35">
    <w:abstractNumId w:val="37"/>
  </w:num>
  <w:num w:numId="36">
    <w:abstractNumId w:val="36"/>
  </w:num>
  <w:num w:numId="37">
    <w:abstractNumId w:val="10"/>
  </w:num>
  <w:num w:numId="38">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174BE"/>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04"/>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A4D"/>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68E"/>
    <w:rsid w:val="0007374A"/>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1CDB"/>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9C6"/>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2CF"/>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8C"/>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39FD"/>
    <w:rsid w:val="00104036"/>
    <w:rsid w:val="00104058"/>
    <w:rsid w:val="0010405D"/>
    <w:rsid w:val="00104228"/>
    <w:rsid w:val="00104979"/>
    <w:rsid w:val="00104A80"/>
    <w:rsid w:val="00104C9B"/>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BB"/>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7F5"/>
    <w:rsid w:val="00130953"/>
    <w:rsid w:val="00130BBD"/>
    <w:rsid w:val="00131683"/>
    <w:rsid w:val="00131AC6"/>
    <w:rsid w:val="001321CE"/>
    <w:rsid w:val="001322B0"/>
    <w:rsid w:val="00132440"/>
    <w:rsid w:val="00132671"/>
    <w:rsid w:val="00132698"/>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4D2"/>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C4"/>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1F55"/>
    <w:rsid w:val="001729E1"/>
    <w:rsid w:val="00172B61"/>
    <w:rsid w:val="00172C20"/>
    <w:rsid w:val="001738A5"/>
    <w:rsid w:val="00173A00"/>
    <w:rsid w:val="00173D38"/>
    <w:rsid w:val="00174DDB"/>
    <w:rsid w:val="00175009"/>
    <w:rsid w:val="001752EC"/>
    <w:rsid w:val="00175A6E"/>
    <w:rsid w:val="00175B5A"/>
    <w:rsid w:val="00175EF2"/>
    <w:rsid w:val="00176414"/>
    <w:rsid w:val="00176A4C"/>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45E"/>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3A0"/>
    <w:rsid w:val="001C7F47"/>
    <w:rsid w:val="001D006C"/>
    <w:rsid w:val="001D056C"/>
    <w:rsid w:val="001D0578"/>
    <w:rsid w:val="001D0593"/>
    <w:rsid w:val="001D1258"/>
    <w:rsid w:val="001D13B7"/>
    <w:rsid w:val="001D19F8"/>
    <w:rsid w:val="001D1CFF"/>
    <w:rsid w:val="001D27F9"/>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63A"/>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05D"/>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13E"/>
    <w:rsid w:val="002475BE"/>
    <w:rsid w:val="00247660"/>
    <w:rsid w:val="00247704"/>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DB5"/>
    <w:rsid w:val="00270E57"/>
    <w:rsid w:val="00270E80"/>
    <w:rsid w:val="002711C3"/>
    <w:rsid w:val="002713CE"/>
    <w:rsid w:val="0027193C"/>
    <w:rsid w:val="00271EEF"/>
    <w:rsid w:val="002720BA"/>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D36"/>
    <w:rsid w:val="00277E66"/>
    <w:rsid w:val="002801E2"/>
    <w:rsid w:val="00280612"/>
    <w:rsid w:val="0028073A"/>
    <w:rsid w:val="00280960"/>
    <w:rsid w:val="0028164E"/>
    <w:rsid w:val="0028168F"/>
    <w:rsid w:val="002825CE"/>
    <w:rsid w:val="00283165"/>
    <w:rsid w:val="002832E7"/>
    <w:rsid w:val="00284D40"/>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4FDA"/>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306"/>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049"/>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0EE9"/>
    <w:rsid w:val="002F2AE0"/>
    <w:rsid w:val="002F31C4"/>
    <w:rsid w:val="002F322F"/>
    <w:rsid w:val="002F3F16"/>
    <w:rsid w:val="002F413F"/>
    <w:rsid w:val="002F446A"/>
    <w:rsid w:val="002F44AD"/>
    <w:rsid w:val="002F45D3"/>
    <w:rsid w:val="002F48C2"/>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233"/>
    <w:rsid w:val="00314CBB"/>
    <w:rsid w:val="0031599D"/>
    <w:rsid w:val="00316064"/>
    <w:rsid w:val="00316C58"/>
    <w:rsid w:val="00316EAE"/>
    <w:rsid w:val="00317050"/>
    <w:rsid w:val="00317625"/>
    <w:rsid w:val="0031767A"/>
    <w:rsid w:val="00317731"/>
    <w:rsid w:val="00317C5E"/>
    <w:rsid w:val="0032013F"/>
    <w:rsid w:val="0032018E"/>
    <w:rsid w:val="00320371"/>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3C8"/>
    <w:rsid w:val="003A6619"/>
    <w:rsid w:val="003A665D"/>
    <w:rsid w:val="003A6666"/>
    <w:rsid w:val="003A6CC0"/>
    <w:rsid w:val="003A71E1"/>
    <w:rsid w:val="003A76A9"/>
    <w:rsid w:val="003A7747"/>
    <w:rsid w:val="003B0299"/>
    <w:rsid w:val="003B0B4D"/>
    <w:rsid w:val="003B125F"/>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80A"/>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F11"/>
    <w:rsid w:val="003D22AC"/>
    <w:rsid w:val="003D2339"/>
    <w:rsid w:val="003D26AA"/>
    <w:rsid w:val="003D2E43"/>
    <w:rsid w:val="003D31DA"/>
    <w:rsid w:val="003D3AD8"/>
    <w:rsid w:val="003D3EE3"/>
    <w:rsid w:val="003D3FC0"/>
    <w:rsid w:val="003D4350"/>
    <w:rsid w:val="003D4409"/>
    <w:rsid w:val="003D4F35"/>
    <w:rsid w:val="003D519A"/>
    <w:rsid w:val="003D5717"/>
    <w:rsid w:val="003D5878"/>
    <w:rsid w:val="003D59FE"/>
    <w:rsid w:val="003D63BA"/>
    <w:rsid w:val="003D680E"/>
    <w:rsid w:val="003D69ED"/>
    <w:rsid w:val="003D6B43"/>
    <w:rsid w:val="003D740C"/>
    <w:rsid w:val="003D79E8"/>
    <w:rsid w:val="003D7DAD"/>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48"/>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763"/>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048"/>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D2D"/>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1D0"/>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70199"/>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0F4D"/>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9E1"/>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1E24"/>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28C"/>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3A1"/>
    <w:rsid w:val="004F359A"/>
    <w:rsid w:val="004F3DD1"/>
    <w:rsid w:val="004F4E53"/>
    <w:rsid w:val="004F58AB"/>
    <w:rsid w:val="004F5D4A"/>
    <w:rsid w:val="004F5D6E"/>
    <w:rsid w:val="004F5EBB"/>
    <w:rsid w:val="004F6142"/>
    <w:rsid w:val="004F679D"/>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64"/>
    <w:rsid w:val="005063A6"/>
    <w:rsid w:val="005064CB"/>
    <w:rsid w:val="00506571"/>
    <w:rsid w:val="0050680A"/>
    <w:rsid w:val="005068F0"/>
    <w:rsid w:val="00506A8D"/>
    <w:rsid w:val="00506B00"/>
    <w:rsid w:val="00506C2E"/>
    <w:rsid w:val="00506D5A"/>
    <w:rsid w:val="005074C9"/>
    <w:rsid w:val="00507538"/>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44C"/>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6E3"/>
    <w:rsid w:val="00583DEF"/>
    <w:rsid w:val="00583E78"/>
    <w:rsid w:val="00584496"/>
    <w:rsid w:val="00584FAE"/>
    <w:rsid w:val="005852AA"/>
    <w:rsid w:val="00585867"/>
    <w:rsid w:val="00585C3A"/>
    <w:rsid w:val="00586013"/>
    <w:rsid w:val="0058628A"/>
    <w:rsid w:val="005868BE"/>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5FA"/>
    <w:rsid w:val="005C6B26"/>
    <w:rsid w:val="005C772B"/>
    <w:rsid w:val="005C7A54"/>
    <w:rsid w:val="005C7CAD"/>
    <w:rsid w:val="005C7CB8"/>
    <w:rsid w:val="005C7CF2"/>
    <w:rsid w:val="005C7EF8"/>
    <w:rsid w:val="005D02FA"/>
    <w:rsid w:val="005D047B"/>
    <w:rsid w:val="005D0790"/>
    <w:rsid w:val="005D0D3E"/>
    <w:rsid w:val="005D17BF"/>
    <w:rsid w:val="005D1849"/>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778"/>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598"/>
    <w:rsid w:val="005F1FE4"/>
    <w:rsid w:val="005F2528"/>
    <w:rsid w:val="005F369B"/>
    <w:rsid w:val="005F3955"/>
    <w:rsid w:val="005F3B59"/>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0D0D"/>
    <w:rsid w:val="00641061"/>
    <w:rsid w:val="006411DF"/>
    <w:rsid w:val="006413FD"/>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1F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8EB"/>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3309"/>
    <w:rsid w:val="006C375B"/>
    <w:rsid w:val="006C3FF3"/>
    <w:rsid w:val="006C410A"/>
    <w:rsid w:val="006C44D3"/>
    <w:rsid w:val="006C45C1"/>
    <w:rsid w:val="006C4AED"/>
    <w:rsid w:val="006C4B11"/>
    <w:rsid w:val="006C4C1A"/>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1AE"/>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9F7"/>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1D7"/>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1D96"/>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17A"/>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D3B"/>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7E8"/>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2B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1F82"/>
    <w:rsid w:val="007C26FF"/>
    <w:rsid w:val="007C2A39"/>
    <w:rsid w:val="007C2AAF"/>
    <w:rsid w:val="007C301B"/>
    <w:rsid w:val="007C3045"/>
    <w:rsid w:val="007C339F"/>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50A"/>
    <w:rsid w:val="007D2C24"/>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22"/>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E55"/>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12F"/>
    <w:rsid w:val="008123D5"/>
    <w:rsid w:val="008124FE"/>
    <w:rsid w:val="008127B0"/>
    <w:rsid w:val="00812FE3"/>
    <w:rsid w:val="00813CE0"/>
    <w:rsid w:val="00813D2B"/>
    <w:rsid w:val="00814072"/>
    <w:rsid w:val="008142CD"/>
    <w:rsid w:val="0081433F"/>
    <w:rsid w:val="008143D8"/>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3335"/>
    <w:rsid w:val="0082347A"/>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7EF"/>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CA5"/>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2C55"/>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08F"/>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1AB"/>
    <w:rsid w:val="008D7554"/>
    <w:rsid w:val="008D7615"/>
    <w:rsid w:val="008D76A0"/>
    <w:rsid w:val="008D7787"/>
    <w:rsid w:val="008D7DEB"/>
    <w:rsid w:val="008E03D2"/>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9A7"/>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57"/>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AFC"/>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B72"/>
    <w:rsid w:val="00967D2D"/>
    <w:rsid w:val="00970F7A"/>
    <w:rsid w:val="00970FE3"/>
    <w:rsid w:val="00971C7D"/>
    <w:rsid w:val="00971EC5"/>
    <w:rsid w:val="00971F6B"/>
    <w:rsid w:val="00971FCC"/>
    <w:rsid w:val="00972507"/>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F42"/>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AA5"/>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5CE8"/>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2A2"/>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3C2"/>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B3"/>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9DC"/>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A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BD"/>
    <w:rsid w:val="00AB610E"/>
    <w:rsid w:val="00AB642C"/>
    <w:rsid w:val="00AB644A"/>
    <w:rsid w:val="00AB6458"/>
    <w:rsid w:val="00AB6CA0"/>
    <w:rsid w:val="00AB72AE"/>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C3D"/>
    <w:rsid w:val="00AD7E17"/>
    <w:rsid w:val="00AE0160"/>
    <w:rsid w:val="00AE0D23"/>
    <w:rsid w:val="00AE0E9E"/>
    <w:rsid w:val="00AE14B7"/>
    <w:rsid w:val="00AE19D1"/>
    <w:rsid w:val="00AE2205"/>
    <w:rsid w:val="00AE232B"/>
    <w:rsid w:val="00AE26F5"/>
    <w:rsid w:val="00AE2968"/>
    <w:rsid w:val="00AE3004"/>
    <w:rsid w:val="00AE302C"/>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5B6"/>
    <w:rsid w:val="00B317EB"/>
    <w:rsid w:val="00B31E5F"/>
    <w:rsid w:val="00B322A7"/>
    <w:rsid w:val="00B32607"/>
    <w:rsid w:val="00B326BE"/>
    <w:rsid w:val="00B32F7F"/>
    <w:rsid w:val="00B33126"/>
    <w:rsid w:val="00B33452"/>
    <w:rsid w:val="00B338CE"/>
    <w:rsid w:val="00B3396B"/>
    <w:rsid w:val="00B33F7C"/>
    <w:rsid w:val="00B34390"/>
    <w:rsid w:val="00B3442C"/>
    <w:rsid w:val="00B34967"/>
    <w:rsid w:val="00B3539A"/>
    <w:rsid w:val="00B35CB3"/>
    <w:rsid w:val="00B35F8E"/>
    <w:rsid w:val="00B37188"/>
    <w:rsid w:val="00B37FF5"/>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650"/>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060"/>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4F6"/>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688"/>
    <w:rsid w:val="00B96CF0"/>
    <w:rsid w:val="00B96DA2"/>
    <w:rsid w:val="00B97059"/>
    <w:rsid w:val="00B977E6"/>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5890"/>
    <w:rsid w:val="00BB61DC"/>
    <w:rsid w:val="00BB6258"/>
    <w:rsid w:val="00BB6431"/>
    <w:rsid w:val="00BB645D"/>
    <w:rsid w:val="00BB6472"/>
    <w:rsid w:val="00BB71EC"/>
    <w:rsid w:val="00BB724B"/>
    <w:rsid w:val="00BB740F"/>
    <w:rsid w:val="00BB7DB1"/>
    <w:rsid w:val="00BC0AE6"/>
    <w:rsid w:val="00BC16BF"/>
    <w:rsid w:val="00BC1B4B"/>
    <w:rsid w:val="00BC201A"/>
    <w:rsid w:val="00BC2427"/>
    <w:rsid w:val="00BC2BC7"/>
    <w:rsid w:val="00BC2F45"/>
    <w:rsid w:val="00BC344E"/>
    <w:rsid w:val="00BC38B8"/>
    <w:rsid w:val="00BC3B5C"/>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7A"/>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730"/>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6820"/>
    <w:rsid w:val="00C86EDA"/>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37CE"/>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0F3"/>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5EC4"/>
    <w:rsid w:val="00D15EDA"/>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651"/>
    <w:rsid w:val="00D25866"/>
    <w:rsid w:val="00D25A61"/>
    <w:rsid w:val="00D25E03"/>
    <w:rsid w:val="00D261FB"/>
    <w:rsid w:val="00D26283"/>
    <w:rsid w:val="00D263B5"/>
    <w:rsid w:val="00D26586"/>
    <w:rsid w:val="00D2664C"/>
    <w:rsid w:val="00D2670D"/>
    <w:rsid w:val="00D26B2E"/>
    <w:rsid w:val="00D26DBE"/>
    <w:rsid w:val="00D27604"/>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852"/>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1E51"/>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57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5950"/>
    <w:rsid w:val="00D86096"/>
    <w:rsid w:val="00D86ACF"/>
    <w:rsid w:val="00D86B37"/>
    <w:rsid w:val="00D86CAF"/>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357"/>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1FA"/>
    <w:rsid w:val="00DC0F93"/>
    <w:rsid w:val="00DC1384"/>
    <w:rsid w:val="00DC1479"/>
    <w:rsid w:val="00DC1624"/>
    <w:rsid w:val="00DC1763"/>
    <w:rsid w:val="00DC1FCC"/>
    <w:rsid w:val="00DC1FCE"/>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0F59"/>
    <w:rsid w:val="00E01395"/>
    <w:rsid w:val="00E019EA"/>
    <w:rsid w:val="00E01A5C"/>
    <w:rsid w:val="00E028E6"/>
    <w:rsid w:val="00E02C20"/>
    <w:rsid w:val="00E0324B"/>
    <w:rsid w:val="00E03354"/>
    <w:rsid w:val="00E0345F"/>
    <w:rsid w:val="00E03B1D"/>
    <w:rsid w:val="00E03BEA"/>
    <w:rsid w:val="00E0401E"/>
    <w:rsid w:val="00E04418"/>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3D8"/>
    <w:rsid w:val="00E36400"/>
    <w:rsid w:val="00E368A4"/>
    <w:rsid w:val="00E36AED"/>
    <w:rsid w:val="00E36B4C"/>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630"/>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321"/>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924"/>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8B"/>
    <w:rsid w:val="00ED1A21"/>
    <w:rsid w:val="00ED1A39"/>
    <w:rsid w:val="00ED1CD6"/>
    <w:rsid w:val="00ED2461"/>
    <w:rsid w:val="00ED2FF1"/>
    <w:rsid w:val="00ED3207"/>
    <w:rsid w:val="00ED32E7"/>
    <w:rsid w:val="00ED341E"/>
    <w:rsid w:val="00ED3423"/>
    <w:rsid w:val="00ED3515"/>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347"/>
    <w:rsid w:val="00ED6567"/>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99D"/>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6C2"/>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47EA3"/>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4CD"/>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E8"/>
    <w:rsid w:val="00FB19D8"/>
    <w:rsid w:val="00FB1DCE"/>
    <w:rsid w:val="00FB22E5"/>
    <w:rsid w:val="00FB2864"/>
    <w:rsid w:val="00FB2F94"/>
    <w:rsid w:val="00FB3A2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B9A"/>
    <w:rsid w:val="00FD235B"/>
    <w:rsid w:val="00FD2804"/>
    <w:rsid w:val="00FD282A"/>
    <w:rsid w:val="00FD2A71"/>
    <w:rsid w:val="00FD3124"/>
    <w:rsid w:val="00FD3757"/>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2FE"/>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table" w:styleId="GridTable5Dark-Accent5">
    <w:name w:val="Grid Table 5 Dark Accent 5"/>
    <w:basedOn w:val="TableNormal"/>
    <w:uiPriority w:val="50"/>
    <w:rsid w:val="001326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588486">
      <w:bodyDiv w:val="1"/>
      <w:marLeft w:val="0"/>
      <w:marRight w:val="0"/>
      <w:marTop w:val="0"/>
      <w:marBottom w:val="0"/>
      <w:divBdr>
        <w:top w:val="none" w:sz="0" w:space="0" w:color="auto"/>
        <w:left w:val="none" w:sz="0" w:space="0" w:color="auto"/>
        <w:bottom w:val="none" w:sz="0" w:space="0" w:color="auto"/>
        <w:right w:val="none" w:sz="0" w:space="0" w:color="auto"/>
      </w:divBdr>
      <w:divsChild>
        <w:div w:id="2126541012">
          <w:marLeft w:val="1166"/>
          <w:marRight w:val="0"/>
          <w:marTop w:val="11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5316834">
      <w:bodyDiv w:val="1"/>
      <w:marLeft w:val="0"/>
      <w:marRight w:val="0"/>
      <w:marTop w:val="0"/>
      <w:marBottom w:val="0"/>
      <w:divBdr>
        <w:top w:val="none" w:sz="0" w:space="0" w:color="auto"/>
        <w:left w:val="none" w:sz="0" w:space="0" w:color="auto"/>
        <w:bottom w:val="none" w:sz="0" w:space="0" w:color="auto"/>
        <w:right w:val="none" w:sz="0" w:space="0" w:color="auto"/>
      </w:divBdr>
    </w:div>
    <w:div w:id="47133833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939918">
      <w:bodyDiv w:val="1"/>
      <w:marLeft w:val="0"/>
      <w:marRight w:val="0"/>
      <w:marTop w:val="0"/>
      <w:marBottom w:val="0"/>
      <w:divBdr>
        <w:top w:val="none" w:sz="0" w:space="0" w:color="auto"/>
        <w:left w:val="none" w:sz="0" w:space="0" w:color="auto"/>
        <w:bottom w:val="none" w:sz="0" w:space="0" w:color="auto"/>
        <w:right w:val="none" w:sz="0" w:space="0" w:color="auto"/>
      </w:divBdr>
      <w:divsChild>
        <w:div w:id="275260985">
          <w:marLeft w:val="547"/>
          <w:marRight w:val="0"/>
          <w:marTop w:val="115"/>
          <w:marBottom w:val="0"/>
          <w:divBdr>
            <w:top w:val="none" w:sz="0" w:space="0" w:color="auto"/>
            <w:left w:val="none" w:sz="0" w:space="0" w:color="auto"/>
            <w:bottom w:val="none" w:sz="0" w:space="0" w:color="auto"/>
            <w:right w:val="none" w:sz="0" w:space="0" w:color="auto"/>
          </w:divBdr>
        </w:div>
        <w:div w:id="1032993695">
          <w:marLeft w:val="1166"/>
          <w:marRight w:val="0"/>
          <w:marTop w:val="115"/>
          <w:marBottom w:val="0"/>
          <w:divBdr>
            <w:top w:val="none" w:sz="0" w:space="0" w:color="auto"/>
            <w:left w:val="none" w:sz="0" w:space="0" w:color="auto"/>
            <w:bottom w:val="none" w:sz="0" w:space="0" w:color="auto"/>
            <w:right w:val="none" w:sz="0" w:space="0" w:color="auto"/>
          </w:divBdr>
        </w:div>
        <w:div w:id="2105958792">
          <w:marLeft w:val="1166"/>
          <w:marRight w:val="0"/>
          <w:marTop w:val="115"/>
          <w:marBottom w:val="0"/>
          <w:divBdr>
            <w:top w:val="none" w:sz="0" w:space="0" w:color="auto"/>
            <w:left w:val="none" w:sz="0" w:space="0" w:color="auto"/>
            <w:bottom w:val="none" w:sz="0" w:space="0" w:color="auto"/>
            <w:right w:val="none" w:sz="0" w:space="0" w:color="auto"/>
          </w:divBdr>
        </w:div>
        <w:div w:id="2015306290">
          <w:marLeft w:val="1166"/>
          <w:marRight w:val="0"/>
          <w:marTop w:val="115"/>
          <w:marBottom w:val="0"/>
          <w:divBdr>
            <w:top w:val="none" w:sz="0" w:space="0" w:color="auto"/>
            <w:left w:val="none" w:sz="0" w:space="0" w:color="auto"/>
            <w:bottom w:val="none" w:sz="0" w:space="0" w:color="auto"/>
            <w:right w:val="none" w:sz="0" w:space="0" w:color="auto"/>
          </w:divBdr>
        </w:div>
        <w:div w:id="1778451031">
          <w:marLeft w:val="1166"/>
          <w:marRight w:val="0"/>
          <w:marTop w:val="115"/>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58101">
      <w:bodyDiv w:val="1"/>
      <w:marLeft w:val="0"/>
      <w:marRight w:val="0"/>
      <w:marTop w:val="0"/>
      <w:marBottom w:val="0"/>
      <w:divBdr>
        <w:top w:val="none" w:sz="0" w:space="0" w:color="auto"/>
        <w:left w:val="none" w:sz="0" w:space="0" w:color="auto"/>
        <w:bottom w:val="none" w:sz="0" w:space="0" w:color="auto"/>
        <w:right w:val="none" w:sz="0" w:space="0" w:color="auto"/>
      </w:divBdr>
      <w:divsChild>
        <w:div w:id="522944167">
          <w:marLeft w:val="547"/>
          <w:marRight w:val="0"/>
          <w:marTop w:val="134"/>
          <w:marBottom w:val="0"/>
          <w:divBdr>
            <w:top w:val="none" w:sz="0" w:space="0" w:color="auto"/>
            <w:left w:val="none" w:sz="0" w:space="0" w:color="auto"/>
            <w:bottom w:val="none" w:sz="0" w:space="0" w:color="auto"/>
            <w:right w:val="none" w:sz="0" w:space="0" w:color="auto"/>
          </w:divBdr>
        </w:div>
        <w:div w:id="734818167">
          <w:marLeft w:val="1166"/>
          <w:marRight w:val="0"/>
          <w:marTop w:val="115"/>
          <w:marBottom w:val="0"/>
          <w:divBdr>
            <w:top w:val="none" w:sz="0" w:space="0" w:color="auto"/>
            <w:left w:val="none" w:sz="0" w:space="0" w:color="auto"/>
            <w:bottom w:val="none" w:sz="0" w:space="0" w:color="auto"/>
            <w:right w:val="none" w:sz="0" w:space="0" w:color="auto"/>
          </w:divBdr>
        </w:div>
        <w:div w:id="599533260">
          <w:marLeft w:val="1627"/>
          <w:marRight w:val="0"/>
          <w:marTop w:val="106"/>
          <w:marBottom w:val="0"/>
          <w:divBdr>
            <w:top w:val="none" w:sz="0" w:space="0" w:color="auto"/>
            <w:left w:val="none" w:sz="0" w:space="0" w:color="auto"/>
            <w:bottom w:val="none" w:sz="0" w:space="0" w:color="auto"/>
            <w:right w:val="none" w:sz="0" w:space="0" w:color="auto"/>
          </w:divBdr>
        </w:div>
        <w:div w:id="793476206">
          <w:marLeft w:val="1627"/>
          <w:marRight w:val="0"/>
          <w:marTop w:val="106"/>
          <w:marBottom w:val="0"/>
          <w:divBdr>
            <w:top w:val="none" w:sz="0" w:space="0" w:color="auto"/>
            <w:left w:val="none" w:sz="0" w:space="0" w:color="auto"/>
            <w:bottom w:val="none" w:sz="0" w:space="0" w:color="auto"/>
            <w:right w:val="none" w:sz="0" w:space="0" w:color="auto"/>
          </w:divBdr>
        </w:div>
        <w:div w:id="1829789586">
          <w:marLeft w:val="1627"/>
          <w:marRight w:val="0"/>
          <w:marTop w:val="106"/>
          <w:marBottom w:val="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268492">
      <w:bodyDiv w:val="1"/>
      <w:marLeft w:val="0"/>
      <w:marRight w:val="0"/>
      <w:marTop w:val="0"/>
      <w:marBottom w:val="0"/>
      <w:divBdr>
        <w:top w:val="none" w:sz="0" w:space="0" w:color="auto"/>
        <w:left w:val="none" w:sz="0" w:space="0" w:color="auto"/>
        <w:bottom w:val="none" w:sz="0" w:space="0" w:color="auto"/>
        <w:right w:val="none" w:sz="0" w:space="0" w:color="auto"/>
      </w:divBdr>
      <w:divsChild>
        <w:div w:id="1228565001">
          <w:marLeft w:val="1166"/>
          <w:marRight w:val="0"/>
          <w:marTop w:val="115"/>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jpeg"/><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HR33RHYHUWRF-4-608</_dlc_DocId>
    <_dlc_DocIdUrl xmlns="c06861ca-3f08-4d07-bff7-bb15bac121f4">
      <Url>https://projects.qualcomm.com/sites/pentari/_layouts/15/DocIdRedir.aspx?ID=HR33RHYHUWRF-4-608</Url>
      <Description>HR33RHYHUWRF-4-608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purl.org/dc/terms/"/>
    <ds:schemaRef ds:uri="c06861ca-3f08-4d07-bff7-bb15bac121f4"/>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B820D70-0F44-4CC7-AED1-099AAE928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5CDB9ED6-DEA6-435F-A395-C6F6BCA3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1962</Words>
  <Characters>11189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13125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Zeng, Wei</cp:lastModifiedBy>
  <cp:revision>2</cp:revision>
  <cp:lastPrinted>2014-11-07T05:38:00Z</cp:lastPrinted>
  <dcterms:created xsi:type="dcterms:W3CDTF">2016-10-01T02:53:00Z</dcterms:created>
  <dcterms:modified xsi:type="dcterms:W3CDTF">2016-10-01T02:53:00Z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7d744b20-ce87-441d-9c64-3a41585ea0ea</vt:lpwstr>
  </property>
</Properties>
</file>